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B38" w:rsidRDefault="00004317">
      <w:r>
        <w:rPr>
          <w:noProof/>
          <w:lang w:eastAsia="es-CL"/>
        </w:rPr>
        <w:drawing>
          <wp:inline distT="0" distB="0" distL="0" distR="0">
            <wp:extent cx="1162701" cy="584643"/>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2162" cy="594429"/>
                    </a:xfrm>
                    <a:prstGeom prst="rect">
                      <a:avLst/>
                    </a:prstGeom>
                    <a:noFill/>
                    <a:ln>
                      <a:noFill/>
                    </a:ln>
                  </pic:spPr>
                </pic:pic>
              </a:graphicData>
            </a:graphic>
          </wp:inline>
        </w:drawing>
      </w:r>
    </w:p>
    <w:p w:rsidR="00004317" w:rsidRDefault="00004317"/>
    <w:p w:rsidR="00073A97" w:rsidRDefault="00073A97" w:rsidP="00073A97">
      <w:pPr>
        <w:spacing w:line="360" w:lineRule="auto"/>
        <w:jc w:val="center"/>
        <w:rPr>
          <w:rFonts w:ascii="Arial" w:hAnsi="Arial" w:cs="Arial"/>
          <w:b/>
          <w:sz w:val="48"/>
          <w:szCs w:val="48"/>
        </w:rPr>
      </w:pPr>
      <w:bookmarkStart w:id="0" w:name="_GoBack"/>
      <w:bookmarkEnd w:id="0"/>
    </w:p>
    <w:p w:rsidR="00073A97" w:rsidRDefault="00073A97" w:rsidP="00073A97">
      <w:pPr>
        <w:spacing w:line="360" w:lineRule="auto"/>
        <w:jc w:val="center"/>
        <w:rPr>
          <w:rFonts w:ascii="Arial" w:hAnsi="Arial" w:cs="Arial"/>
          <w:b/>
          <w:sz w:val="48"/>
          <w:szCs w:val="48"/>
        </w:rPr>
      </w:pPr>
    </w:p>
    <w:p w:rsidR="00073A97" w:rsidRDefault="00073A97" w:rsidP="00073A97">
      <w:pPr>
        <w:spacing w:line="360" w:lineRule="auto"/>
        <w:jc w:val="center"/>
        <w:rPr>
          <w:rFonts w:ascii="Arial" w:hAnsi="Arial" w:cs="Arial"/>
          <w:b/>
          <w:sz w:val="48"/>
          <w:szCs w:val="48"/>
        </w:rPr>
      </w:pPr>
    </w:p>
    <w:p w:rsidR="00073A97" w:rsidRDefault="00286C06" w:rsidP="00073A97">
      <w:pPr>
        <w:spacing w:line="360" w:lineRule="auto"/>
        <w:jc w:val="center"/>
        <w:rPr>
          <w:rFonts w:ascii="Arial" w:hAnsi="Arial" w:cs="Arial"/>
          <w:b/>
          <w:sz w:val="48"/>
          <w:szCs w:val="48"/>
        </w:rPr>
      </w:pPr>
      <w:r>
        <w:rPr>
          <w:rFonts w:ascii="Arial" w:hAnsi="Arial" w:cs="Arial"/>
          <w:b/>
          <w:sz w:val="48"/>
          <w:szCs w:val="48"/>
        </w:rPr>
        <w:t>APLICACIÓN</w:t>
      </w:r>
      <w:r w:rsidR="00073A97">
        <w:rPr>
          <w:rFonts w:ascii="Arial" w:hAnsi="Arial" w:cs="Arial"/>
          <w:b/>
          <w:sz w:val="48"/>
          <w:szCs w:val="48"/>
        </w:rPr>
        <w:t xml:space="preserve"> - </w:t>
      </w:r>
      <w:r w:rsidR="00004317" w:rsidRPr="00073A97">
        <w:rPr>
          <w:rFonts w:ascii="Arial" w:hAnsi="Arial" w:cs="Arial"/>
          <w:b/>
          <w:sz w:val="48"/>
          <w:szCs w:val="48"/>
        </w:rPr>
        <w:t>ENTORNO Y ECONOMÍA PARA LOS NEGOCIOS</w:t>
      </w:r>
      <w:r w:rsidR="00073A97">
        <w:rPr>
          <w:rFonts w:ascii="Arial" w:hAnsi="Arial" w:cs="Arial"/>
          <w:b/>
          <w:sz w:val="48"/>
          <w:szCs w:val="48"/>
        </w:rPr>
        <w:t xml:space="preserve"> – MICROECONOMÍA</w:t>
      </w:r>
    </w:p>
    <w:p w:rsidR="00073A97" w:rsidRDefault="00073A97" w:rsidP="00073A97">
      <w:pPr>
        <w:spacing w:line="360" w:lineRule="auto"/>
        <w:jc w:val="center"/>
        <w:rPr>
          <w:rFonts w:ascii="Arial" w:hAnsi="Arial" w:cs="Arial"/>
          <w:b/>
          <w:sz w:val="48"/>
          <w:szCs w:val="48"/>
        </w:rPr>
      </w:pPr>
    </w:p>
    <w:p w:rsidR="00073A97" w:rsidRDefault="00073A97" w:rsidP="00073A97">
      <w:pPr>
        <w:spacing w:line="360" w:lineRule="auto"/>
        <w:jc w:val="center"/>
        <w:rPr>
          <w:rFonts w:ascii="Arial" w:hAnsi="Arial" w:cs="Arial"/>
          <w:b/>
          <w:sz w:val="48"/>
          <w:szCs w:val="48"/>
        </w:rPr>
      </w:pPr>
    </w:p>
    <w:p w:rsidR="00073A97" w:rsidRDefault="00073A97" w:rsidP="00073A97">
      <w:pPr>
        <w:spacing w:line="360" w:lineRule="auto"/>
        <w:jc w:val="center"/>
        <w:rPr>
          <w:rFonts w:ascii="Arial" w:hAnsi="Arial" w:cs="Arial"/>
          <w:b/>
          <w:sz w:val="48"/>
          <w:szCs w:val="48"/>
        </w:rPr>
      </w:pPr>
    </w:p>
    <w:p w:rsidR="00073A97" w:rsidRDefault="00073A97" w:rsidP="00073A97">
      <w:pPr>
        <w:spacing w:line="360" w:lineRule="auto"/>
        <w:jc w:val="center"/>
        <w:rPr>
          <w:rFonts w:ascii="Arial" w:hAnsi="Arial" w:cs="Arial"/>
          <w:b/>
          <w:sz w:val="48"/>
          <w:szCs w:val="48"/>
        </w:rPr>
      </w:pPr>
    </w:p>
    <w:p w:rsidR="00073A97" w:rsidRDefault="00073A97" w:rsidP="00073A97">
      <w:pPr>
        <w:spacing w:line="360" w:lineRule="auto"/>
        <w:jc w:val="center"/>
        <w:rPr>
          <w:rFonts w:ascii="Arial" w:hAnsi="Arial" w:cs="Arial"/>
          <w:b/>
          <w:sz w:val="48"/>
          <w:szCs w:val="48"/>
        </w:rPr>
      </w:pPr>
    </w:p>
    <w:tbl>
      <w:tblPr>
        <w:tblStyle w:val="Tablaconcuadrcula"/>
        <w:tblpPr w:leftFromText="141" w:rightFromText="141" w:vertAnchor="text" w:horzAnchor="page" w:tblpX="5426" w:tblpY="1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2840"/>
      </w:tblGrid>
      <w:tr w:rsidR="00073A97" w:rsidRPr="00073A97" w:rsidTr="00073A97">
        <w:tc>
          <w:tcPr>
            <w:tcW w:w="2972" w:type="dxa"/>
          </w:tcPr>
          <w:p w:rsidR="00073A97" w:rsidRPr="00073A97" w:rsidRDefault="00073A97" w:rsidP="00073A97">
            <w:pPr>
              <w:spacing w:line="360" w:lineRule="auto"/>
              <w:jc w:val="center"/>
              <w:rPr>
                <w:rFonts w:ascii="Arial" w:hAnsi="Arial" w:cs="Arial"/>
                <w:b/>
                <w:sz w:val="24"/>
                <w:szCs w:val="24"/>
              </w:rPr>
            </w:pPr>
            <w:r w:rsidRPr="00073A97">
              <w:rPr>
                <w:rFonts w:ascii="Arial" w:hAnsi="Arial" w:cs="Arial"/>
                <w:b/>
                <w:sz w:val="24"/>
                <w:szCs w:val="24"/>
              </w:rPr>
              <w:t>Nombre:</w:t>
            </w:r>
          </w:p>
        </w:tc>
        <w:tc>
          <w:tcPr>
            <w:tcW w:w="2840" w:type="dxa"/>
          </w:tcPr>
          <w:p w:rsidR="00073A97" w:rsidRPr="00073A97" w:rsidRDefault="00073A97" w:rsidP="00073A97">
            <w:pPr>
              <w:spacing w:line="360" w:lineRule="auto"/>
              <w:rPr>
                <w:rFonts w:ascii="Arial" w:hAnsi="Arial" w:cs="Arial"/>
                <w:b/>
                <w:sz w:val="24"/>
                <w:szCs w:val="24"/>
              </w:rPr>
            </w:pPr>
            <w:r w:rsidRPr="00073A97">
              <w:rPr>
                <w:rFonts w:ascii="Arial" w:hAnsi="Arial" w:cs="Arial"/>
                <w:b/>
                <w:sz w:val="24"/>
                <w:szCs w:val="24"/>
              </w:rPr>
              <w:t>Waldo Ávalos Medel</w:t>
            </w:r>
          </w:p>
        </w:tc>
      </w:tr>
    </w:tbl>
    <w:p w:rsidR="00073A97" w:rsidRDefault="00073A97" w:rsidP="00073A97">
      <w:pPr>
        <w:spacing w:line="360" w:lineRule="auto"/>
        <w:jc w:val="center"/>
        <w:rPr>
          <w:rFonts w:ascii="Arial" w:hAnsi="Arial" w:cs="Arial"/>
          <w:b/>
          <w:sz w:val="48"/>
          <w:szCs w:val="48"/>
        </w:rPr>
      </w:pPr>
    </w:p>
    <w:p w:rsidR="00B97BD9" w:rsidRDefault="00B97BD9" w:rsidP="00073A97">
      <w:pPr>
        <w:spacing w:line="360" w:lineRule="auto"/>
        <w:jc w:val="center"/>
        <w:rPr>
          <w:rFonts w:ascii="Arial" w:hAnsi="Arial" w:cs="Arial"/>
          <w:b/>
          <w:sz w:val="48"/>
          <w:szCs w:val="48"/>
        </w:rPr>
      </w:pPr>
    </w:p>
    <w:p w:rsidR="00B97BD9" w:rsidRDefault="00B97BD9" w:rsidP="00073A97">
      <w:pPr>
        <w:spacing w:line="360" w:lineRule="auto"/>
        <w:jc w:val="center"/>
        <w:rPr>
          <w:rFonts w:ascii="Arial" w:hAnsi="Arial" w:cs="Arial"/>
          <w:b/>
          <w:sz w:val="48"/>
          <w:szCs w:val="48"/>
        </w:rPr>
      </w:pPr>
    </w:p>
    <w:p w:rsidR="00B97BD9" w:rsidRDefault="00B97BD9" w:rsidP="00073A97">
      <w:pPr>
        <w:spacing w:line="360" w:lineRule="auto"/>
        <w:jc w:val="center"/>
        <w:rPr>
          <w:rFonts w:ascii="Arial" w:hAnsi="Arial" w:cs="Arial"/>
          <w:b/>
          <w:sz w:val="48"/>
          <w:szCs w:val="48"/>
        </w:rPr>
      </w:pPr>
    </w:p>
    <w:sdt>
      <w:sdtPr>
        <w:rPr>
          <w:rFonts w:ascii="Arial" w:eastAsiaTheme="minorHAnsi" w:hAnsi="Arial" w:cs="Arial"/>
          <w:b/>
          <w:color w:val="auto"/>
          <w:sz w:val="24"/>
          <w:szCs w:val="24"/>
          <w:lang w:val="es-ES" w:eastAsia="en-US"/>
        </w:rPr>
        <w:id w:val="1827093111"/>
        <w:docPartObj>
          <w:docPartGallery w:val="Table of Contents"/>
          <w:docPartUnique/>
        </w:docPartObj>
      </w:sdtPr>
      <w:sdtEndPr>
        <w:rPr>
          <w:rFonts w:asciiTheme="minorHAnsi" w:hAnsiTheme="minorHAnsi" w:cstheme="minorBidi"/>
          <w:bCs/>
          <w:sz w:val="22"/>
          <w:szCs w:val="22"/>
        </w:rPr>
      </w:sdtEndPr>
      <w:sdtContent>
        <w:p w:rsidR="000A15E1" w:rsidRDefault="000A15E1">
          <w:pPr>
            <w:pStyle w:val="TtuloTDC"/>
            <w:rPr>
              <w:rFonts w:ascii="Arial" w:hAnsi="Arial" w:cs="Arial"/>
              <w:b/>
              <w:color w:val="auto"/>
              <w:sz w:val="24"/>
              <w:szCs w:val="24"/>
              <w:lang w:val="es-ES"/>
            </w:rPr>
          </w:pPr>
          <w:r w:rsidRPr="007474BA">
            <w:rPr>
              <w:rFonts w:ascii="Arial" w:hAnsi="Arial" w:cs="Arial"/>
              <w:b/>
              <w:color w:val="auto"/>
              <w:sz w:val="24"/>
              <w:szCs w:val="24"/>
              <w:lang w:val="es-ES"/>
            </w:rPr>
            <w:t>Contenido</w:t>
          </w:r>
        </w:p>
        <w:p w:rsidR="00B97BD9" w:rsidRPr="00B97BD9" w:rsidRDefault="00B97BD9" w:rsidP="00B97BD9">
          <w:pPr>
            <w:rPr>
              <w:lang w:val="es-ES" w:eastAsia="es-CL"/>
            </w:rPr>
          </w:pPr>
        </w:p>
        <w:p w:rsidR="000A15E1" w:rsidRPr="007474BA" w:rsidRDefault="000A15E1" w:rsidP="000A15E1">
          <w:pPr>
            <w:rPr>
              <w:rFonts w:ascii="Arial" w:hAnsi="Arial" w:cs="Arial"/>
              <w:sz w:val="24"/>
              <w:szCs w:val="24"/>
              <w:lang w:val="es-ES" w:eastAsia="es-CL"/>
            </w:rPr>
          </w:pPr>
        </w:p>
        <w:p w:rsidR="007474BA" w:rsidRPr="007474BA" w:rsidRDefault="000A15E1">
          <w:pPr>
            <w:pStyle w:val="TDC1"/>
            <w:tabs>
              <w:tab w:val="right" w:leader="dot" w:pos="8828"/>
            </w:tabs>
            <w:rPr>
              <w:rFonts w:ascii="Arial" w:eastAsiaTheme="minorEastAsia" w:hAnsi="Arial" w:cs="Arial"/>
              <w:noProof/>
              <w:sz w:val="24"/>
              <w:szCs w:val="24"/>
              <w:lang w:eastAsia="es-CL"/>
            </w:rPr>
          </w:pPr>
          <w:r w:rsidRPr="007474BA">
            <w:rPr>
              <w:rFonts w:ascii="Arial" w:hAnsi="Arial" w:cs="Arial"/>
              <w:sz w:val="24"/>
              <w:szCs w:val="24"/>
            </w:rPr>
            <w:fldChar w:fldCharType="begin"/>
          </w:r>
          <w:r w:rsidRPr="007474BA">
            <w:rPr>
              <w:rFonts w:ascii="Arial" w:hAnsi="Arial" w:cs="Arial"/>
              <w:sz w:val="24"/>
              <w:szCs w:val="24"/>
            </w:rPr>
            <w:instrText xml:space="preserve"> TOC \o "1-3" \h \z \u </w:instrText>
          </w:r>
          <w:r w:rsidRPr="007474BA">
            <w:rPr>
              <w:rFonts w:ascii="Arial" w:hAnsi="Arial" w:cs="Arial"/>
              <w:sz w:val="24"/>
              <w:szCs w:val="24"/>
            </w:rPr>
            <w:fldChar w:fldCharType="separate"/>
          </w:r>
          <w:hyperlink w:anchor="_Toc73538300" w:history="1">
            <w:r w:rsidR="007474BA" w:rsidRPr="007474BA">
              <w:rPr>
                <w:rStyle w:val="Hipervnculo"/>
                <w:rFonts w:ascii="Arial" w:hAnsi="Arial" w:cs="Arial"/>
                <w:noProof/>
                <w:sz w:val="24"/>
                <w:szCs w:val="24"/>
              </w:rPr>
              <w:t>I Mapa Conceptual</w:t>
            </w:r>
            <w:r w:rsidR="007474BA" w:rsidRPr="007474BA">
              <w:rPr>
                <w:rFonts w:ascii="Arial" w:hAnsi="Arial" w:cs="Arial"/>
                <w:noProof/>
                <w:webHidden/>
                <w:sz w:val="24"/>
                <w:szCs w:val="24"/>
              </w:rPr>
              <w:tab/>
            </w:r>
            <w:r w:rsidR="007474BA" w:rsidRPr="007474BA">
              <w:rPr>
                <w:rFonts w:ascii="Arial" w:hAnsi="Arial" w:cs="Arial"/>
                <w:noProof/>
                <w:webHidden/>
                <w:sz w:val="24"/>
                <w:szCs w:val="24"/>
              </w:rPr>
              <w:fldChar w:fldCharType="begin"/>
            </w:r>
            <w:r w:rsidR="007474BA" w:rsidRPr="007474BA">
              <w:rPr>
                <w:rFonts w:ascii="Arial" w:hAnsi="Arial" w:cs="Arial"/>
                <w:noProof/>
                <w:webHidden/>
                <w:sz w:val="24"/>
                <w:szCs w:val="24"/>
              </w:rPr>
              <w:instrText xml:space="preserve"> PAGEREF _Toc73538300 \h </w:instrText>
            </w:r>
            <w:r w:rsidR="007474BA" w:rsidRPr="007474BA">
              <w:rPr>
                <w:rFonts w:ascii="Arial" w:hAnsi="Arial" w:cs="Arial"/>
                <w:noProof/>
                <w:webHidden/>
                <w:sz w:val="24"/>
                <w:szCs w:val="24"/>
              </w:rPr>
            </w:r>
            <w:r w:rsidR="007474BA" w:rsidRPr="007474BA">
              <w:rPr>
                <w:rFonts w:ascii="Arial" w:hAnsi="Arial" w:cs="Arial"/>
                <w:noProof/>
                <w:webHidden/>
                <w:sz w:val="24"/>
                <w:szCs w:val="24"/>
              </w:rPr>
              <w:fldChar w:fldCharType="separate"/>
            </w:r>
            <w:r w:rsidR="002C4069">
              <w:rPr>
                <w:rFonts w:ascii="Arial" w:hAnsi="Arial" w:cs="Arial"/>
                <w:noProof/>
                <w:webHidden/>
                <w:sz w:val="24"/>
                <w:szCs w:val="24"/>
              </w:rPr>
              <w:t>1</w:t>
            </w:r>
            <w:r w:rsidR="007474BA" w:rsidRPr="007474BA">
              <w:rPr>
                <w:rFonts w:ascii="Arial" w:hAnsi="Arial" w:cs="Arial"/>
                <w:noProof/>
                <w:webHidden/>
                <w:sz w:val="24"/>
                <w:szCs w:val="24"/>
              </w:rPr>
              <w:fldChar w:fldCharType="end"/>
            </w:r>
          </w:hyperlink>
        </w:p>
        <w:p w:rsidR="007474BA" w:rsidRPr="007474BA" w:rsidRDefault="003A4AC1">
          <w:pPr>
            <w:pStyle w:val="TDC1"/>
            <w:tabs>
              <w:tab w:val="right" w:leader="dot" w:pos="8828"/>
            </w:tabs>
            <w:rPr>
              <w:rFonts w:ascii="Arial" w:eastAsiaTheme="minorEastAsia" w:hAnsi="Arial" w:cs="Arial"/>
              <w:noProof/>
              <w:sz w:val="24"/>
              <w:szCs w:val="24"/>
              <w:lang w:eastAsia="es-CL"/>
            </w:rPr>
          </w:pPr>
          <w:hyperlink w:anchor="_Toc73538301" w:history="1">
            <w:r w:rsidR="007474BA" w:rsidRPr="007474BA">
              <w:rPr>
                <w:rStyle w:val="Hipervnculo"/>
                <w:rFonts w:ascii="Arial" w:hAnsi="Arial" w:cs="Arial"/>
                <w:noProof/>
                <w:sz w:val="24"/>
                <w:szCs w:val="24"/>
              </w:rPr>
              <w:t>II Análisis Mapa Conceptual</w:t>
            </w:r>
            <w:r w:rsidR="007474BA" w:rsidRPr="007474BA">
              <w:rPr>
                <w:rFonts w:ascii="Arial" w:hAnsi="Arial" w:cs="Arial"/>
                <w:noProof/>
                <w:webHidden/>
                <w:sz w:val="24"/>
                <w:szCs w:val="24"/>
              </w:rPr>
              <w:tab/>
            </w:r>
            <w:r w:rsidR="007474BA" w:rsidRPr="007474BA">
              <w:rPr>
                <w:rFonts w:ascii="Arial" w:hAnsi="Arial" w:cs="Arial"/>
                <w:noProof/>
                <w:webHidden/>
                <w:sz w:val="24"/>
                <w:szCs w:val="24"/>
              </w:rPr>
              <w:fldChar w:fldCharType="begin"/>
            </w:r>
            <w:r w:rsidR="007474BA" w:rsidRPr="007474BA">
              <w:rPr>
                <w:rFonts w:ascii="Arial" w:hAnsi="Arial" w:cs="Arial"/>
                <w:noProof/>
                <w:webHidden/>
                <w:sz w:val="24"/>
                <w:szCs w:val="24"/>
              </w:rPr>
              <w:instrText xml:space="preserve"> PAGEREF _Toc73538301 \h </w:instrText>
            </w:r>
            <w:r w:rsidR="007474BA" w:rsidRPr="007474BA">
              <w:rPr>
                <w:rFonts w:ascii="Arial" w:hAnsi="Arial" w:cs="Arial"/>
                <w:noProof/>
                <w:webHidden/>
                <w:sz w:val="24"/>
                <w:szCs w:val="24"/>
              </w:rPr>
            </w:r>
            <w:r w:rsidR="007474BA" w:rsidRPr="007474BA">
              <w:rPr>
                <w:rFonts w:ascii="Arial" w:hAnsi="Arial" w:cs="Arial"/>
                <w:noProof/>
                <w:webHidden/>
                <w:sz w:val="24"/>
                <w:szCs w:val="24"/>
              </w:rPr>
              <w:fldChar w:fldCharType="separate"/>
            </w:r>
            <w:r w:rsidR="002C4069">
              <w:rPr>
                <w:rFonts w:ascii="Arial" w:hAnsi="Arial" w:cs="Arial"/>
                <w:noProof/>
                <w:webHidden/>
                <w:sz w:val="24"/>
                <w:szCs w:val="24"/>
              </w:rPr>
              <w:t>1</w:t>
            </w:r>
            <w:r w:rsidR="007474BA" w:rsidRPr="007474BA">
              <w:rPr>
                <w:rFonts w:ascii="Arial" w:hAnsi="Arial" w:cs="Arial"/>
                <w:noProof/>
                <w:webHidden/>
                <w:sz w:val="24"/>
                <w:szCs w:val="24"/>
              </w:rPr>
              <w:fldChar w:fldCharType="end"/>
            </w:r>
          </w:hyperlink>
        </w:p>
        <w:p w:rsidR="007474BA" w:rsidRPr="007474BA" w:rsidRDefault="003A4AC1">
          <w:pPr>
            <w:pStyle w:val="TDC1"/>
            <w:tabs>
              <w:tab w:val="right" w:leader="dot" w:pos="8828"/>
            </w:tabs>
            <w:rPr>
              <w:rFonts w:ascii="Arial" w:eastAsiaTheme="minorEastAsia" w:hAnsi="Arial" w:cs="Arial"/>
              <w:noProof/>
              <w:sz w:val="24"/>
              <w:szCs w:val="24"/>
              <w:lang w:eastAsia="es-CL"/>
            </w:rPr>
          </w:pPr>
          <w:hyperlink w:anchor="_Toc73538302" w:history="1">
            <w:r w:rsidR="007474BA" w:rsidRPr="007474BA">
              <w:rPr>
                <w:rStyle w:val="Hipervnculo"/>
                <w:rFonts w:ascii="Arial" w:hAnsi="Arial" w:cs="Arial"/>
                <w:noProof/>
                <w:sz w:val="24"/>
                <w:szCs w:val="24"/>
              </w:rPr>
              <w:t>III Determinación de Precio</w:t>
            </w:r>
            <w:r w:rsidR="007474BA" w:rsidRPr="007474BA">
              <w:rPr>
                <w:rFonts w:ascii="Arial" w:hAnsi="Arial" w:cs="Arial"/>
                <w:noProof/>
                <w:webHidden/>
                <w:sz w:val="24"/>
                <w:szCs w:val="24"/>
              </w:rPr>
              <w:tab/>
            </w:r>
            <w:r w:rsidR="007474BA" w:rsidRPr="007474BA">
              <w:rPr>
                <w:rFonts w:ascii="Arial" w:hAnsi="Arial" w:cs="Arial"/>
                <w:noProof/>
                <w:webHidden/>
                <w:sz w:val="24"/>
                <w:szCs w:val="24"/>
              </w:rPr>
              <w:fldChar w:fldCharType="begin"/>
            </w:r>
            <w:r w:rsidR="007474BA" w:rsidRPr="007474BA">
              <w:rPr>
                <w:rFonts w:ascii="Arial" w:hAnsi="Arial" w:cs="Arial"/>
                <w:noProof/>
                <w:webHidden/>
                <w:sz w:val="24"/>
                <w:szCs w:val="24"/>
              </w:rPr>
              <w:instrText xml:space="preserve"> PAGEREF _Toc73538302 \h </w:instrText>
            </w:r>
            <w:r w:rsidR="007474BA" w:rsidRPr="007474BA">
              <w:rPr>
                <w:rFonts w:ascii="Arial" w:hAnsi="Arial" w:cs="Arial"/>
                <w:noProof/>
                <w:webHidden/>
                <w:sz w:val="24"/>
                <w:szCs w:val="24"/>
              </w:rPr>
            </w:r>
            <w:r w:rsidR="007474BA" w:rsidRPr="007474BA">
              <w:rPr>
                <w:rFonts w:ascii="Arial" w:hAnsi="Arial" w:cs="Arial"/>
                <w:noProof/>
                <w:webHidden/>
                <w:sz w:val="24"/>
                <w:szCs w:val="24"/>
              </w:rPr>
              <w:fldChar w:fldCharType="separate"/>
            </w:r>
            <w:r w:rsidR="002C4069">
              <w:rPr>
                <w:rFonts w:ascii="Arial" w:hAnsi="Arial" w:cs="Arial"/>
                <w:noProof/>
                <w:webHidden/>
                <w:sz w:val="24"/>
                <w:szCs w:val="24"/>
              </w:rPr>
              <w:t>2</w:t>
            </w:r>
            <w:r w:rsidR="007474BA" w:rsidRPr="007474BA">
              <w:rPr>
                <w:rFonts w:ascii="Arial" w:hAnsi="Arial" w:cs="Arial"/>
                <w:noProof/>
                <w:webHidden/>
                <w:sz w:val="24"/>
                <w:szCs w:val="24"/>
              </w:rPr>
              <w:fldChar w:fldCharType="end"/>
            </w:r>
          </w:hyperlink>
        </w:p>
        <w:p w:rsidR="007474BA" w:rsidRPr="007474BA" w:rsidRDefault="003A4AC1">
          <w:pPr>
            <w:pStyle w:val="TDC1"/>
            <w:tabs>
              <w:tab w:val="right" w:leader="dot" w:pos="8828"/>
            </w:tabs>
            <w:rPr>
              <w:rFonts w:ascii="Arial" w:eastAsiaTheme="minorEastAsia" w:hAnsi="Arial" w:cs="Arial"/>
              <w:noProof/>
              <w:sz w:val="24"/>
              <w:szCs w:val="24"/>
              <w:lang w:eastAsia="es-CL"/>
            </w:rPr>
          </w:pPr>
          <w:hyperlink w:anchor="_Toc73538303" w:history="1">
            <w:r w:rsidR="007474BA" w:rsidRPr="007474BA">
              <w:rPr>
                <w:rStyle w:val="Hipervnculo"/>
                <w:rFonts w:ascii="Arial" w:hAnsi="Arial" w:cs="Arial"/>
                <w:noProof/>
                <w:sz w:val="24"/>
                <w:szCs w:val="24"/>
              </w:rPr>
              <w:t>IV PESTEL</w:t>
            </w:r>
            <w:r w:rsidR="007474BA" w:rsidRPr="007474BA">
              <w:rPr>
                <w:rFonts w:ascii="Arial" w:hAnsi="Arial" w:cs="Arial"/>
                <w:noProof/>
                <w:webHidden/>
                <w:sz w:val="24"/>
                <w:szCs w:val="24"/>
              </w:rPr>
              <w:tab/>
            </w:r>
            <w:r w:rsidR="007474BA" w:rsidRPr="007474BA">
              <w:rPr>
                <w:rFonts w:ascii="Arial" w:hAnsi="Arial" w:cs="Arial"/>
                <w:noProof/>
                <w:webHidden/>
                <w:sz w:val="24"/>
                <w:szCs w:val="24"/>
              </w:rPr>
              <w:fldChar w:fldCharType="begin"/>
            </w:r>
            <w:r w:rsidR="007474BA" w:rsidRPr="007474BA">
              <w:rPr>
                <w:rFonts w:ascii="Arial" w:hAnsi="Arial" w:cs="Arial"/>
                <w:noProof/>
                <w:webHidden/>
                <w:sz w:val="24"/>
                <w:szCs w:val="24"/>
              </w:rPr>
              <w:instrText xml:space="preserve"> PAGEREF _Toc73538303 \h </w:instrText>
            </w:r>
            <w:r w:rsidR="007474BA" w:rsidRPr="007474BA">
              <w:rPr>
                <w:rFonts w:ascii="Arial" w:hAnsi="Arial" w:cs="Arial"/>
                <w:noProof/>
                <w:webHidden/>
                <w:sz w:val="24"/>
                <w:szCs w:val="24"/>
              </w:rPr>
            </w:r>
            <w:r w:rsidR="007474BA" w:rsidRPr="007474BA">
              <w:rPr>
                <w:rFonts w:ascii="Arial" w:hAnsi="Arial" w:cs="Arial"/>
                <w:noProof/>
                <w:webHidden/>
                <w:sz w:val="24"/>
                <w:szCs w:val="24"/>
              </w:rPr>
              <w:fldChar w:fldCharType="separate"/>
            </w:r>
            <w:r w:rsidR="002C4069">
              <w:rPr>
                <w:rFonts w:ascii="Arial" w:hAnsi="Arial" w:cs="Arial"/>
                <w:noProof/>
                <w:webHidden/>
                <w:sz w:val="24"/>
                <w:szCs w:val="24"/>
              </w:rPr>
              <w:t>3</w:t>
            </w:r>
            <w:r w:rsidR="007474BA" w:rsidRPr="007474BA">
              <w:rPr>
                <w:rFonts w:ascii="Arial" w:hAnsi="Arial" w:cs="Arial"/>
                <w:noProof/>
                <w:webHidden/>
                <w:sz w:val="24"/>
                <w:szCs w:val="24"/>
              </w:rPr>
              <w:fldChar w:fldCharType="end"/>
            </w:r>
          </w:hyperlink>
        </w:p>
        <w:p w:rsidR="007474BA" w:rsidRPr="007474BA" w:rsidRDefault="003A4AC1">
          <w:pPr>
            <w:pStyle w:val="TDC1"/>
            <w:tabs>
              <w:tab w:val="right" w:leader="dot" w:pos="8828"/>
            </w:tabs>
            <w:rPr>
              <w:rFonts w:ascii="Arial" w:eastAsiaTheme="minorEastAsia" w:hAnsi="Arial" w:cs="Arial"/>
              <w:noProof/>
              <w:sz w:val="24"/>
              <w:szCs w:val="24"/>
              <w:lang w:eastAsia="es-CL"/>
            </w:rPr>
          </w:pPr>
          <w:hyperlink w:anchor="_Toc73538304" w:history="1">
            <w:r w:rsidR="007474BA" w:rsidRPr="007474BA">
              <w:rPr>
                <w:rStyle w:val="Hipervnculo"/>
                <w:rFonts w:ascii="Arial" w:hAnsi="Arial" w:cs="Arial"/>
                <w:noProof/>
                <w:sz w:val="24"/>
                <w:szCs w:val="24"/>
              </w:rPr>
              <w:t>V PORTER</w:t>
            </w:r>
            <w:r w:rsidR="007474BA" w:rsidRPr="007474BA">
              <w:rPr>
                <w:rFonts w:ascii="Arial" w:hAnsi="Arial" w:cs="Arial"/>
                <w:noProof/>
                <w:webHidden/>
                <w:sz w:val="24"/>
                <w:szCs w:val="24"/>
              </w:rPr>
              <w:tab/>
            </w:r>
            <w:r w:rsidR="007474BA" w:rsidRPr="007474BA">
              <w:rPr>
                <w:rFonts w:ascii="Arial" w:hAnsi="Arial" w:cs="Arial"/>
                <w:noProof/>
                <w:webHidden/>
                <w:sz w:val="24"/>
                <w:szCs w:val="24"/>
              </w:rPr>
              <w:fldChar w:fldCharType="begin"/>
            </w:r>
            <w:r w:rsidR="007474BA" w:rsidRPr="007474BA">
              <w:rPr>
                <w:rFonts w:ascii="Arial" w:hAnsi="Arial" w:cs="Arial"/>
                <w:noProof/>
                <w:webHidden/>
                <w:sz w:val="24"/>
                <w:szCs w:val="24"/>
              </w:rPr>
              <w:instrText xml:space="preserve"> PAGEREF _Toc73538304 \h </w:instrText>
            </w:r>
            <w:r w:rsidR="007474BA" w:rsidRPr="007474BA">
              <w:rPr>
                <w:rFonts w:ascii="Arial" w:hAnsi="Arial" w:cs="Arial"/>
                <w:noProof/>
                <w:webHidden/>
                <w:sz w:val="24"/>
                <w:szCs w:val="24"/>
              </w:rPr>
            </w:r>
            <w:r w:rsidR="007474BA" w:rsidRPr="007474BA">
              <w:rPr>
                <w:rFonts w:ascii="Arial" w:hAnsi="Arial" w:cs="Arial"/>
                <w:noProof/>
                <w:webHidden/>
                <w:sz w:val="24"/>
                <w:szCs w:val="24"/>
              </w:rPr>
              <w:fldChar w:fldCharType="separate"/>
            </w:r>
            <w:r w:rsidR="002C4069">
              <w:rPr>
                <w:rFonts w:ascii="Arial" w:hAnsi="Arial" w:cs="Arial"/>
                <w:noProof/>
                <w:webHidden/>
                <w:sz w:val="24"/>
                <w:szCs w:val="24"/>
              </w:rPr>
              <w:t>8</w:t>
            </w:r>
            <w:r w:rsidR="007474BA" w:rsidRPr="007474BA">
              <w:rPr>
                <w:rFonts w:ascii="Arial" w:hAnsi="Arial" w:cs="Arial"/>
                <w:noProof/>
                <w:webHidden/>
                <w:sz w:val="24"/>
                <w:szCs w:val="24"/>
              </w:rPr>
              <w:fldChar w:fldCharType="end"/>
            </w:r>
          </w:hyperlink>
        </w:p>
        <w:p w:rsidR="007474BA" w:rsidRPr="007474BA" w:rsidRDefault="003A4AC1">
          <w:pPr>
            <w:pStyle w:val="TDC1"/>
            <w:tabs>
              <w:tab w:val="right" w:leader="dot" w:pos="8828"/>
            </w:tabs>
            <w:rPr>
              <w:rFonts w:ascii="Arial" w:eastAsiaTheme="minorEastAsia" w:hAnsi="Arial" w:cs="Arial"/>
              <w:noProof/>
              <w:sz w:val="24"/>
              <w:szCs w:val="24"/>
              <w:lang w:eastAsia="es-CL"/>
            </w:rPr>
          </w:pPr>
          <w:hyperlink w:anchor="_Toc73538305" w:history="1">
            <w:r w:rsidR="007474BA" w:rsidRPr="007474BA">
              <w:rPr>
                <w:rStyle w:val="Hipervnculo"/>
                <w:rFonts w:ascii="Arial" w:hAnsi="Arial" w:cs="Arial"/>
                <w:noProof/>
                <w:sz w:val="24"/>
                <w:szCs w:val="24"/>
              </w:rPr>
              <w:t>VI Bibliografía</w:t>
            </w:r>
            <w:r w:rsidR="007474BA" w:rsidRPr="007474BA">
              <w:rPr>
                <w:rFonts w:ascii="Arial" w:hAnsi="Arial" w:cs="Arial"/>
                <w:noProof/>
                <w:webHidden/>
                <w:sz w:val="24"/>
                <w:szCs w:val="24"/>
              </w:rPr>
              <w:tab/>
            </w:r>
            <w:r w:rsidR="007474BA" w:rsidRPr="007474BA">
              <w:rPr>
                <w:rFonts w:ascii="Arial" w:hAnsi="Arial" w:cs="Arial"/>
                <w:noProof/>
                <w:webHidden/>
                <w:sz w:val="24"/>
                <w:szCs w:val="24"/>
              </w:rPr>
              <w:fldChar w:fldCharType="begin"/>
            </w:r>
            <w:r w:rsidR="007474BA" w:rsidRPr="007474BA">
              <w:rPr>
                <w:rFonts w:ascii="Arial" w:hAnsi="Arial" w:cs="Arial"/>
                <w:noProof/>
                <w:webHidden/>
                <w:sz w:val="24"/>
                <w:szCs w:val="24"/>
              </w:rPr>
              <w:instrText xml:space="preserve"> PAGEREF _Toc73538305 \h </w:instrText>
            </w:r>
            <w:r w:rsidR="007474BA" w:rsidRPr="007474BA">
              <w:rPr>
                <w:rFonts w:ascii="Arial" w:hAnsi="Arial" w:cs="Arial"/>
                <w:noProof/>
                <w:webHidden/>
                <w:sz w:val="24"/>
                <w:szCs w:val="24"/>
              </w:rPr>
            </w:r>
            <w:r w:rsidR="007474BA" w:rsidRPr="007474BA">
              <w:rPr>
                <w:rFonts w:ascii="Arial" w:hAnsi="Arial" w:cs="Arial"/>
                <w:noProof/>
                <w:webHidden/>
                <w:sz w:val="24"/>
                <w:szCs w:val="24"/>
              </w:rPr>
              <w:fldChar w:fldCharType="separate"/>
            </w:r>
            <w:r w:rsidR="002C4069">
              <w:rPr>
                <w:rFonts w:ascii="Arial" w:hAnsi="Arial" w:cs="Arial"/>
                <w:noProof/>
                <w:webHidden/>
                <w:sz w:val="24"/>
                <w:szCs w:val="24"/>
              </w:rPr>
              <w:t>10</w:t>
            </w:r>
            <w:r w:rsidR="007474BA" w:rsidRPr="007474BA">
              <w:rPr>
                <w:rFonts w:ascii="Arial" w:hAnsi="Arial" w:cs="Arial"/>
                <w:noProof/>
                <w:webHidden/>
                <w:sz w:val="24"/>
                <w:szCs w:val="24"/>
              </w:rPr>
              <w:fldChar w:fldCharType="end"/>
            </w:r>
          </w:hyperlink>
        </w:p>
        <w:p w:rsidR="000A15E1" w:rsidRDefault="000A15E1">
          <w:r w:rsidRPr="007474BA">
            <w:rPr>
              <w:rFonts w:ascii="Arial" w:hAnsi="Arial" w:cs="Arial"/>
              <w:b/>
              <w:bCs/>
              <w:sz w:val="24"/>
              <w:szCs w:val="24"/>
              <w:lang w:val="es-ES"/>
            </w:rPr>
            <w:fldChar w:fldCharType="end"/>
          </w:r>
        </w:p>
      </w:sdtContent>
    </w:sdt>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073A97" w:rsidRDefault="00073A97" w:rsidP="00073A97">
      <w:pPr>
        <w:spacing w:line="360" w:lineRule="auto"/>
        <w:jc w:val="center"/>
        <w:rPr>
          <w:rFonts w:ascii="Arial" w:hAnsi="Arial" w:cs="Arial"/>
          <w:b/>
          <w:sz w:val="24"/>
          <w:szCs w:val="24"/>
        </w:rPr>
      </w:pPr>
    </w:p>
    <w:p w:rsidR="002C4069" w:rsidRDefault="002C4069" w:rsidP="00073A97">
      <w:pPr>
        <w:spacing w:line="360" w:lineRule="auto"/>
        <w:jc w:val="center"/>
        <w:rPr>
          <w:rFonts w:ascii="Arial" w:hAnsi="Arial" w:cs="Arial"/>
          <w:b/>
          <w:sz w:val="24"/>
          <w:szCs w:val="24"/>
        </w:rPr>
        <w:sectPr w:rsidR="002C4069" w:rsidSect="00B97BD9">
          <w:pgSz w:w="12240" w:h="15840"/>
          <w:pgMar w:top="709" w:right="1701" w:bottom="1418" w:left="1701" w:header="709" w:footer="709" w:gutter="0"/>
          <w:pgNumType w:start="1"/>
          <w:cols w:space="708"/>
          <w:docGrid w:linePitch="360"/>
        </w:sectPr>
      </w:pPr>
    </w:p>
    <w:p w:rsidR="002C4069" w:rsidRDefault="002C4069" w:rsidP="00073A97">
      <w:pPr>
        <w:spacing w:line="360" w:lineRule="auto"/>
        <w:jc w:val="center"/>
        <w:rPr>
          <w:rFonts w:ascii="Arial" w:hAnsi="Arial" w:cs="Arial"/>
          <w:b/>
          <w:sz w:val="24"/>
          <w:szCs w:val="24"/>
        </w:rPr>
      </w:pPr>
    </w:p>
    <w:p w:rsidR="00073A97" w:rsidRDefault="00EA5225" w:rsidP="00286C06">
      <w:pPr>
        <w:pStyle w:val="Ttulo1"/>
        <w:rPr>
          <w:rFonts w:cs="Arial"/>
          <w:szCs w:val="24"/>
        </w:rPr>
      </w:pPr>
      <w:bookmarkStart w:id="1" w:name="_Toc73538300"/>
      <w:r>
        <w:t xml:space="preserve">I </w:t>
      </w:r>
      <w:r w:rsidR="00286C06">
        <w:t>Mapa Conceptual</w:t>
      </w:r>
      <w:bookmarkEnd w:id="1"/>
    </w:p>
    <w:p w:rsidR="00E656CA" w:rsidRDefault="00E656CA"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r w:rsidRPr="00286C06">
        <w:rPr>
          <w:rFonts w:ascii="Arial" w:hAnsi="Arial" w:cs="Arial"/>
          <w:noProof/>
        </w:rPr>
        <w:drawing>
          <wp:anchor distT="0" distB="0" distL="114300" distR="114300" simplePos="0" relativeHeight="251658240" behindDoc="0" locked="0" layoutInCell="1" allowOverlap="1">
            <wp:simplePos x="0" y="0"/>
            <wp:positionH relativeFrom="margin">
              <wp:align>left</wp:align>
            </wp:positionH>
            <wp:positionV relativeFrom="paragraph">
              <wp:posOffset>7207</wp:posOffset>
            </wp:positionV>
            <wp:extent cx="8727630" cy="4412974"/>
            <wp:effectExtent l="133350" t="76200" r="73660" b="140335"/>
            <wp:wrapNone/>
            <wp:docPr id="2" name="Imagen 2" descr="D:\Escritorio\MAGISTER UNIACC\Economia\ITEM 2\MAPA CONCEPTU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torio\MAGISTER UNIACC\Economia\ITEM 2\MAPA CONCEPTUAL.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27630" cy="4412974"/>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Default="00286C06" w:rsidP="00073A97">
      <w:pPr>
        <w:pStyle w:val="NormalWeb"/>
        <w:spacing w:before="0" w:beforeAutospacing="0" w:after="0" w:afterAutospacing="0" w:line="360" w:lineRule="auto"/>
        <w:jc w:val="both"/>
        <w:rPr>
          <w:rFonts w:ascii="Arial" w:hAnsi="Arial" w:cs="Arial"/>
          <w:lang w:val="es-ES"/>
        </w:rPr>
      </w:pPr>
    </w:p>
    <w:p w:rsidR="00286C06" w:rsidRPr="00EA5225" w:rsidRDefault="00286C06" w:rsidP="00073A97">
      <w:pPr>
        <w:pStyle w:val="NormalWeb"/>
        <w:spacing w:before="0" w:beforeAutospacing="0" w:after="0" w:afterAutospacing="0" w:line="360" w:lineRule="auto"/>
        <w:jc w:val="both"/>
        <w:rPr>
          <w:rFonts w:ascii="Arial" w:hAnsi="Arial" w:cs="Arial"/>
          <w:lang w:val="es-ES"/>
        </w:rPr>
      </w:pPr>
    </w:p>
    <w:p w:rsidR="00E656CA" w:rsidRPr="00073A97" w:rsidRDefault="00E656CA" w:rsidP="00073A97">
      <w:pPr>
        <w:pStyle w:val="NormalWeb"/>
        <w:spacing w:before="0" w:beforeAutospacing="0" w:after="0" w:afterAutospacing="0" w:line="360" w:lineRule="auto"/>
        <w:jc w:val="both"/>
        <w:rPr>
          <w:rFonts w:ascii="Arial" w:hAnsi="Arial" w:cs="Arial"/>
          <w:color w:val="3A3A3A"/>
        </w:rPr>
      </w:pPr>
    </w:p>
    <w:p w:rsidR="00073A97" w:rsidRDefault="00073A97" w:rsidP="00073A97">
      <w:pPr>
        <w:spacing w:line="360" w:lineRule="auto"/>
        <w:rPr>
          <w:rFonts w:ascii="Arial" w:hAnsi="Arial" w:cs="Arial"/>
          <w:sz w:val="24"/>
          <w:szCs w:val="24"/>
        </w:rPr>
      </w:pPr>
    </w:p>
    <w:p w:rsidR="00EA5225" w:rsidRDefault="00EA5225" w:rsidP="00073A97">
      <w:pPr>
        <w:spacing w:line="360" w:lineRule="auto"/>
        <w:rPr>
          <w:rFonts w:ascii="Arial" w:hAnsi="Arial" w:cs="Arial"/>
          <w:sz w:val="24"/>
          <w:szCs w:val="24"/>
        </w:rPr>
      </w:pPr>
    </w:p>
    <w:p w:rsidR="000A15E1" w:rsidRDefault="000A15E1" w:rsidP="00073A97">
      <w:pPr>
        <w:spacing w:line="360" w:lineRule="auto"/>
        <w:rPr>
          <w:rFonts w:ascii="Arial" w:hAnsi="Arial" w:cs="Arial"/>
          <w:sz w:val="24"/>
          <w:szCs w:val="24"/>
        </w:rPr>
      </w:pPr>
    </w:p>
    <w:p w:rsidR="00286C06" w:rsidRDefault="00286C06" w:rsidP="00073A97">
      <w:pPr>
        <w:spacing w:line="360" w:lineRule="auto"/>
        <w:rPr>
          <w:rFonts w:ascii="Arial" w:hAnsi="Arial" w:cs="Arial"/>
          <w:sz w:val="24"/>
          <w:szCs w:val="24"/>
        </w:rPr>
      </w:pPr>
    </w:p>
    <w:p w:rsidR="00286C06" w:rsidRDefault="00286C06" w:rsidP="00073A97">
      <w:pPr>
        <w:spacing w:line="360" w:lineRule="auto"/>
        <w:rPr>
          <w:rFonts w:ascii="Arial" w:hAnsi="Arial" w:cs="Arial"/>
          <w:sz w:val="24"/>
          <w:szCs w:val="24"/>
        </w:rPr>
      </w:pPr>
    </w:p>
    <w:p w:rsidR="002C4069" w:rsidRDefault="002C4069" w:rsidP="00EA5225">
      <w:pPr>
        <w:pStyle w:val="Ttulo1"/>
        <w:sectPr w:rsidR="002C4069" w:rsidSect="002C4069">
          <w:pgSz w:w="15840" w:h="12240" w:orient="landscape"/>
          <w:pgMar w:top="1701" w:right="1418" w:bottom="1701" w:left="709" w:header="709" w:footer="709" w:gutter="0"/>
          <w:pgNumType w:start="1"/>
          <w:cols w:space="708"/>
          <w:docGrid w:linePitch="360"/>
        </w:sectPr>
      </w:pPr>
      <w:bookmarkStart w:id="2" w:name="_Toc73538301"/>
    </w:p>
    <w:p w:rsidR="00B97BD9" w:rsidRDefault="00B97BD9" w:rsidP="00EA5225">
      <w:pPr>
        <w:pStyle w:val="Ttulo1"/>
      </w:pPr>
    </w:p>
    <w:p w:rsidR="00EA5225" w:rsidRDefault="00EA5225" w:rsidP="00EA5225">
      <w:pPr>
        <w:pStyle w:val="Ttulo1"/>
      </w:pPr>
      <w:r>
        <w:t xml:space="preserve">II </w:t>
      </w:r>
      <w:r w:rsidR="00286C06">
        <w:t>Análisis</w:t>
      </w:r>
      <w:r w:rsidR="00294005">
        <w:t xml:space="preserve"> Mapa Conceptual</w:t>
      </w:r>
      <w:bookmarkEnd w:id="2"/>
    </w:p>
    <w:p w:rsidR="00EA5225" w:rsidRPr="00EA5225" w:rsidRDefault="00EA5225" w:rsidP="00EA5225">
      <w:pPr>
        <w:spacing w:line="360" w:lineRule="auto"/>
        <w:rPr>
          <w:rFonts w:ascii="Arial" w:hAnsi="Arial" w:cs="Arial"/>
          <w:sz w:val="24"/>
          <w:szCs w:val="24"/>
        </w:rPr>
      </w:pPr>
    </w:p>
    <w:p w:rsidR="00286C06" w:rsidRDefault="00286C06" w:rsidP="001215C0">
      <w:pPr>
        <w:spacing w:line="360" w:lineRule="auto"/>
        <w:jc w:val="both"/>
        <w:rPr>
          <w:rFonts w:ascii="Arial" w:hAnsi="Arial" w:cs="Arial"/>
          <w:sz w:val="24"/>
          <w:szCs w:val="24"/>
        </w:rPr>
      </w:pPr>
      <w:r>
        <w:rPr>
          <w:rFonts w:ascii="Arial" w:hAnsi="Arial" w:cs="Arial"/>
          <w:sz w:val="24"/>
          <w:szCs w:val="24"/>
        </w:rPr>
        <w:t>Para proyecto representado en Mapa de Conceptual, existen costos fijos y costos variables.</w:t>
      </w:r>
    </w:p>
    <w:p w:rsidR="00EA5225" w:rsidRDefault="00286C06" w:rsidP="001215C0">
      <w:pPr>
        <w:spacing w:line="360" w:lineRule="auto"/>
        <w:jc w:val="both"/>
        <w:rPr>
          <w:rFonts w:ascii="Arial" w:hAnsi="Arial" w:cs="Arial"/>
          <w:sz w:val="24"/>
          <w:szCs w:val="24"/>
          <w:u w:val="single"/>
        </w:rPr>
      </w:pPr>
      <w:r w:rsidRPr="00286C06">
        <w:rPr>
          <w:rFonts w:ascii="Arial" w:hAnsi="Arial" w:cs="Arial"/>
          <w:sz w:val="24"/>
          <w:szCs w:val="24"/>
          <w:u w:val="single"/>
        </w:rPr>
        <w:t>Costos Totales = Costos Fijos + Costos Variables</w:t>
      </w:r>
    </w:p>
    <w:p w:rsidR="00286C06" w:rsidRDefault="00286C06" w:rsidP="001215C0">
      <w:pPr>
        <w:spacing w:line="360" w:lineRule="auto"/>
        <w:jc w:val="both"/>
        <w:rPr>
          <w:rFonts w:ascii="Arial" w:hAnsi="Arial" w:cs="Arial"/>
          <w:sz w:val="24"/>
          <w:szCs w:val="24"/>
        </w:rPr>
      </w:pPr>
      <w:r>
        <w:rPr>
          <w:rFonts w:ascii="Arial" w:hAnsi="Arial" w:cs="Arial"/>
          <w:sz w:val="24"/>
          <w:szCs w:val="24"/>
        </w:rPr>
        <w:t>Los costos fijos se relacionan con el capital, porque es difícil modificar en el corto plazo la capacidad de la planta, considerando además arriendo, deudas etc.</w:t>
      </w:r>
    </w:p>
    <w:p w:rsidR="00286C06" w:rsidRDefault="00286C06" w:rsidP="001215C0">
      <w:pPr>
        <w:spacing w:line="360" w:lineRule="auto"/>
        <w:jc w:val="both"/>
        <w:rPr>
          <w:rFonts w:ascii="Arial" w:hAnsi="Arial" w:cs="Arial"/>
          <w:sz w:val="24"/>
          <w:szCs w:val="24"/>
        </w:rPr>
      </w:pPr>
      <w:r>
        <w:rPr>
          <w:rFonts w:ascii="Arial" w:hAnsi="Arial" w:cs="Arial"/>
          <w:sz w:val="24"/>
          <w:szCs w:val="24"/>
        </w:rPr>
        <w:t xml:space="preserve">Los costos variables se relacionan con el número de trabajadores, lo que además considera salarios, insumos </w:t>
      </w:r>
      <w:r w:rsidR="00246A3A">
        <w:rPr>
          <w:rFonts w:ascii="Arial" w:hAnsi="Arial" w:cs="Arial"/>
          <w:sz w:val="24"/>
          <w:szCs w:val="24"/>
        </w:rPr>
        <w:t>etc.</w:t>
      </w:r>
    </w:p>
    <w:p w:rsidR="00246A3A" w:rsidRDefault="00246A3A" w:rsidP="001215C0">
      <w:pPr>
        <w:spacing w:line="360" w:lineRule="auto"/>
        <w:jc w:val="both"/>
        <w:rPr>
          <w:rFonts w:ascii="Arial" w:hAnsi="Arial" w:cs="Arial"/>
          <w:sz w:val="24"/>
          <w:szCs w:val="24"/>
        </w:rPr>
      </w:pPr>
      <w:r>
        <w:rPr>
          <w:rFonts w:ascii="Arial" w:hAnsi="Arial" w:cs="Arial"/>
          <w:sz w:val="24"/>
          <w:szCs w:val="24"/>
        </w:rPr>
        <w:t>Cuando la empresa contrata más trabajadores aumenta la producción, pero disminuye la productividad.</w:t>
      </w:r>
    </w:p>
    <w:p w:rsidR="00246A3A" w:rsidRDefault="00246A3A" w:rsidP="001215C0">
      <w:pPr>
        <w:spacing w:line="360" w:lineRule="auto"/>
        <w:jc w:val="both"/>
        <w:rPr>
          <w:rFonts w:ascii="Arial" w:hAnsi="Arial" w:cs="Arial"/>
          <w:sz w:val="24"/>
          <w:szCs w:val="24"/>
        </w:rPr>
      </w:pPr>
      <w:r>
        <w:rPr>
          <w:rFonts w:ascii="Arial" w:hAnsi="Arial" w:cs="Arial"/>
          <w:sz w:val="24"/>
          <w:szCs w:val="24"/>
        </w:rPr>
        <w:t xml:space="preserve">En el </w:t>
      </w:r>
      <w:r w:rsidR="001215C0">
        <w:rPr>
          <w:rFonts w:ascii="Arial" w:hAnsi="Arial" w:cs="Arial"/>
          <w:sz w:val="24"/>
          <w:szCs w:val="24"/>
        </w:rPr>
        <w:t>Mapa conceptual, punto destreza, se evidencia que a través de las ventajas competitivas se logra optimizar recursos y con esto satisfacer las necesidades (ilimitadas) de la empresa y trabajadores. Además, se logra comprender el comportamiento de los agentes económicos y poder realizar un correcto análisis marginal.</w:t>
      </w:r>
    </w:p>
    <w:p w:rsidR="00246A3A" w:rsidRDefault="00246A3A" w:rsidP="001215C0">
      <w:pPr>
        <w:spacing w:line="360" w:lineRule="auto"/>
        <w:jc w:val="both"/>
        <w:rPr>
          <w:rFonts w:ascii="Arial" w:hAnsi="Arial" w:cs="Arial"/>
          <w:sz w:val="24"/>
          <w:szCs w:val="24"/>
        </w:rPr>
      </w:pPr>
      <w:r>
        <w:rPr>
          <w:rFonts w:ascii="Arial" w:hAnsi="Arial" w:cs="Arial"/>
          <w:sz w:val="24"/>
          <w:szCs w:val="24"/>
        </w:rPr>
        <w:t>La microeconomía permite que los gerentes puedan comprender mejor el comportamiento del mercado y analizar cómo responden los consumidores ante cambios en variables como el precio y la cantidad de bienes ofrecidos.</w:t>
      </w:r>
    </w:p>
    <w:p w:rsidR="00246A3A" w:rsidRDefault="00246A3A" w:rsidP="001215C0">
      <w:pPr>
        <w:spacing w:line="360" w:lineRule="auto"/>
        <w:jc w:val="both"/>
        <w:rPr>
          <w:rFonts w:ascii="Arial" w:hAnsi="Arial" w:cs="Arial"/>
          <w:sz w:val="24"/>
          <w:szCs w:val="24"/>
        </w:rPr>
      </w:pPr>
      <w:r>
        <w:rPr>
          <w:rFonts w:ascii="Arial" w:hAnsi="Arial" w:cs="Arial"/>
          <w:sz w:val="24"/>
          <w:szCs w:val="24"/>
        </w:rPr>
        <w:t>Toda la cadena de valor está relacionada con la economía (micro y macro), ya que el aumento de deudas públicas provoca el alza de impuestos, que los hogares consuman menos y empresas ganen menos, además de provocar el aumento en la cantidad de desempleados.</w:t>
      </w:r>
    </w:p>
    <w:p w:rsidR="00A665ED" w:rsidRPr="001215C0" w:rsidRDefault="001215C0" w:rsidP="001215C0">
      <w:pPr>
        <w:spacing w:line="360" w:lineRule="auto"/>
        <w:rPr>
          <w:rFonts w:ascii="Arial" w:hAnsi="Arial" w:cs="Arial"/>
          <w:sz w:val="24"/>
          <w:szCs w:val="24"/>
        </w:rPr>
      </w:pPr>
      <w:r>
        <w:rPr>
          <w:rFonts w:ascii="Arial" w:hAnsi="Arial" w:cs="Arial"/>
          <w:sz w:val="24"/>
          <w:szCs w:val="24"/>
        </w:rPr>
        <w:t xml:space="preserve">En este caso se trabaja bajo el Oligopolio, porque </w:t>
      </w:r>
      <w:r w:rsidR="00B71038" w:rsidRPr="001215C0">
        <w:rPr>
          <w:rFonts w:ascii="Arial" w:hAnsi="Arial" w:cs="Arial"/>
          <w:sz w:val="24"/>
          <w:szCs w:val="24"/>
        </w:rPr>
        <w:t>empresas controlan la producción de todo el sector industrial.</w:t>
      </w:r>
    </w:p>
    <w:p w:rsidR="00246A3A" w:rsidRPr="00286C06" w:rsidRDefault="00246A3A" w:rsidP="00286C06">
      <w:pPr>
        <w:spacing w:line="360" w:lineRule="auto"/>
        <w:rPr>
          <w:rFonts w:ascii="Arial" w:hAnsi="Arial" w:cs="Arial"/>
          <w:sz w:val="24"/>
          <w:szCs w:val="24"/>
        </w:rPr>
      </w:pPr>
    </w:p>
    <w:p w:rsidR="00294005" w:rsidRDefault="00294005" w:rsidP="00294005">
      <w:pPr>
        <w:pStyle w:val="Ttulo1"/>
        <w:rPr>
          <w:rFonts w:cs="Arial"/>
        </w:rPr>
      </w:pPr>
      <w:bookmarkStart w:id="3" w:name="_Toc73538302"/>
      <w:r>
        <w:lastRenderedPageBreak/>
        <w:t>III Determinación de Precio</w:t>
      </w:r>
      <w:bookmarkEnd w:id="3"/>
    </w:p>
    <w:p w:rsidR="00294005" w:rsidRDefault="00294005" w:rsidP="001215C0">
      <w:pPr>
        <w:autoSpaceDE w:val="0"/>
        <w:autoSpaceDN w:val="0"/>
        <w:adjustRightInd w:val="0"/>
        <w:spacing w:line="360" w:lineRule="auto"/>
        <w:ind w:firstLine="708"/>
        <w:rPr>
          <w:rFonts w:ascii="Arial" w:hAnsi="Arial" w:cs="Arial"/>
        </w:rPr>
      </w:pPr>
    </w:p>
    <w:p w:rsidR="001215C0" w:rsidRPr="00294005" w:rsidRDefault="001215C0" w:rsidP="001215C0">
      <w:pPr>
        <w:autoSpaceDE w:val="0"/>
        <w:autoSpaceDN w:val="0"/>
        <w:adjustRightInd w:val="0"/>
        <w:spacing w:line="360" w:lineRule="auto"/>
        <w:ind w:firstLine="708"/>
        <w:rPr>
          <w:rFonts w:ascii="Arial" w:hAnsi="Arial" w:cs="Arial"/>
          <w:sz w:val="24"/>
          <w:szCs w:val="24"/>
        </w:rPr>
      </w:pPr>
      <w:r w:rsidRPr="00294005">
        <w:rPr>
          <w:rFonts w:ascii="Arial" w:hAnsi="Arial" w:cs="Arial"/>
          <w:sz w:val="24"/>
          <w:szCs w:val="24"/>
        </w:rPr>
        <w:t xml:space="preserve">Para la determinación del precio, se considera la Teoría de los precios según Milton </w:t>
      </w:r>
      <w:proofErr w:type="spellStart"/>
      <w:r w:rsidRPr="00294005">
        <w:rPr>
          <w:rFonts w:ascii="Arial" w:hAnsi="Arial" w:cs="Arial"/>
          <w:sz w:val="24"/>
          <w:szCs w:val="24"/>
        </w:rPr>
        <w:t>Fridman</w:t>
      </w:r>
      <w:proofErr w:type="spellEnd"/>
      <w:r w:rsidRPr="00294005">
        <w:rPr>
          <w:rFonts w:ascii="Arial" w:hAnsi="Arial" w:cs="Arial"/>
          <w:sz w:val="24"/>
          <w:szCs w:val="24"/>
        </w:rPr>
        <w:t xml:space="preserve"> de acuerdo a la siguiente ecuación.</w:t>
      </w:r>
    </w:p>
    <w:p w:rsidR="001215C0" w:rsidRPr="00294005" w:rsidRDefault="001215C0" w:rsidP="001215C0">
      <w:pPr>
        <w:autoSpaceDE w:val="0"/>
        <w:autoSpaceDN w:val="0"/>
        <w:adjustRightInd w:val="0"/>
        <w:spacing w:line="360" w:lineRule="auto"/>
        <w:rPr>
          <w:rFonts w:ascii="Arial" w:hAnsi="Arial" w:cs="Arial"/>
          <w:sz w:val="24"/>
          <w:szCs w:val="24"/>
        </w:rPr>
      </w:pPr>
    </w:p>
    <w:p w:rsidR="001215C0" w:rsidRPr="00294005" w:rsidRDefault="001215C0" w:rsidP="001215C0">
      <w:pPr>
        <w:autoSpaceDE w:val="0"/>
        <w:autoSpaceDN w:val="0"/>
        <w:adjustRightInd w:val="0"/>
        <w:spacing w:line="360" w:lineRule="auto"/>
        <w:rPr>
          <w:rFonts w:ascii="Arial" w:hAnsi="Arial" w:cs="Arial"/>
          <w:sz w:val="24"/>
          <w:szCs w:val="24"/>
          <w:u w:val="single"/>
        </w:rPr>
      </w:pPr>
      <w:r w:rsidRPr="00294005">
        <w:rPr>
          <w:rFonts w:ascii="Arial" w:hAnsi="Arial" w:cs="Arial"/>
          <w:sz w:val="24"/>
          <w:szCs w:val="24"/>
          <w:u w:val="single"/>
        </w:rPr>
        <w:t>Ecuación 1</w:t>
      </w:r>
    </w:p>
    <w:p w:rsidR="001215C0" w:rsidRPr="00294005" w:rsidRDefault="001215C0" w:rsidP="001215C0">
      <w:pPr>
        <w:autoSpaceDE w:val="0"/>
        <w:autoSpaceDN w:val="0"/>
        <w:adjustRightInd w:val="0"/>
        <w:spacing w:line="360" w:lineRule="auto"/>
        <w:rPr>
          <w:rFonts w:ascii="Arial" w:hAnsi="Arial" w:cs="Arial"/>
          <w:sz w:val="24"/>
          <w:szCs w:val="24"/>
          <w:u w:val="single"/>
        </w:rPr>
      </w:pPr>
    </w:p>
    <w:p w:rsidR="001215C0" w:rsidRPr="00294005" w:rsidRDefault="001215C0" w:rsidP="001215C0">
      <w:pPr>
        <w:autoSpaceDE w:val="0"/>
        <w:autoSpaceDN w:val="0"/>
        <w:adjustRightInd w:val="0"/>
        <w:spacing w:line="360" w:lineRule="auto"/>
        <w:ind w:left="708" w:firstLine="708"/>
        <w:rPr>
          <w:rFonts w:ascii="Arial" w:hAnsi="Arial" w:cs="Arial"/>
          <w:sz w:val="24"/>
          <w:szCs w:val="24"/>
        </w:rPr>
      </w:pPr>
      <w:r w:rsidRPr="00294005">
        <w:rPr>
          <w:rFonts w:ascii="Arial" w:hAnsi="Arial" w:cs="Arial"/>
          <w:sz w:val="24"/>
          <w:szCs w:val="24"/>
        </w:rPr>
        <w:t xml:space="preserve">Costo por unidad de producción = </w:t>
      </w:r>
      <w:r w:rsidRPr="00294005">
        <w:rPr>
          <w:rFonts w:ascii="Arial" w:hAnsi="Arial" w:cs="Arial"/>
          <w:sz w:val="24"/>
          <w:szCs w:val="24"/>
          <w:u w:val="single"/>
        </w:rPr>
        <w:t>Costos fijos + Costos variables</w:t>
      </w:r>
    </w:p>
    <w:p w:rsidR="001215C0" w:rsidRPr="00294005" w:rsidRDefault="001215C0" w:rsidP="001215C0">
      <w:pPr>
        <w:autoSpaceDE w:val="0"/>
        <w:autoSpaceDN w:val="0"/>
        <w:adjustRightInd w:val="0"/>
        <w:spacing w:line="360" w:lineRule="auto"/>
        <w:rPr>
          <w:rFonts w:ascii="Arial" w:hAnsi="Arial" w:cs="Arial"/>
          <w:sz w:val="24"/>
          <w:szCs w:val="24"/>
        </w:rPr>
      </w:pPr>
      <w:r w:rsidRPr="00294005">
        <w:rPr>
          <w:rFonts w:ascii="Arial" w:hAnsi="Arial" w:cs="Arial"/>
          <w:sz w:val="24"/>
          <w:szCs w:val="24"/>
        </w:rPr>
        <w:t xml:space="preserve">                                                         </w:t>
      </w:r>
      <w:r w:rsidRPr="00294005">
        <w:rPr>
          <w:rFonts w:ascii="Arial" w:hAnsi="Arial" w:cs="Arial"/>
          <w:sz w:val="24"/>
          <w:szCs w:val="24"/>
        </w:rPr>
        <w:tab/>
      </w:r>
      <w:r w:rsidRPr="00294005">
        <w:rPr>
          <w:rFonts w:ascii="Arial" w:hAnsi="Arial" w:cs="Arial"/>
          <w:sz w:val="24"/>
          <w:szCs w:val="24"/>
        </w:rPr>
        <w:tab/>
        <w:t xml:space="preserve">     Producción total estimada</w:t>
      </w:r>
    </w:p>
    <w:p w:rsidR="001215C0" w:rsidRPr="00294005" w:rsidRDefault="001215C0" w:rsidP="001215C0">
      <w:pPr>
        <w:autoSpaceDE w:val="0"/>
        <w:autoSpaceDN w:val="0"/>
        <w:adjustRightInd w:val="0"/>
        <w:spacing w:line="360" w:lineRule="auto"/>
        <w:rPr>
          <w:rFonts w:ascii="Arial" w:hAnsi="Arial" w:cs="Arial"/>
          <w:sz w:val="24"/>
          <w:szCs w:val="24"/>
        </w:rPr>
      </w:pPr>
    </w:p>
    <w:p w:rsidR="001215C0" w:rsidRPr="00294005" w:rsidRDefault="001215C0" w:rsidP="001215C0">
      <w:pPr>
        <w:autoSpaceDE w:val="0"/>
        <w:autoSpaceDN w:val="0"/>
        <w:adjustRightInd w:val="0"/>
        <w:spacing w:line="360" w:lineRule="auto"/>
        <w:rPr>
          <w:rFonts w:ascii="Arial" w:hAnsi="Arial" w:cs="Arial"/>
          <w:sz w:val="24"/>
          <w:szCs w:val="24"/>
        </w:rPr>
      </w:pPr>
      <w:r w:rsidRPr="00294005">
        <w:rPr>
          <w:rFonts w:ascii="Arial" w:hAnsi="Arial" w:cs="Arial"/>
          <w:sz w:val="24"/>
          <w:szCs w:val="24"/>
        </w:rPr>
        <w:t>Es importante tener a la vista los siguientes datos para el cálculo del precio:</w:t>
      </w:r>
    </w:p>
    <w:p w:rsidR="001215C0" w:rsidRPr="00294005" w:rsidRDefault="001215C0" w:rsidP="001215C0">
      <w:pPr>
        <w:autoSpaceDE w:val="0"/>
        <w:autoSpaceDN w:val="0"/>
        <w:adjustRightInd w:val="0"/>
        <w:spacing w:line="360" w:lineRule="auto"/>
        <w:rPr>
          <w:rFonts w:ascii="Arial" w:hAnsi="Arial" w:cs="Arial"/>
          <w:sz w:val="24"/>
          <w:szCs w:val="24"/>
        </w:rPr>
      </w:pPr>
    </w:p>
    <w:p w:rsidR="001215C0" w:rsidRPr="00294005" w:rsidRDefault="001215C0" w:rsidP="001215C0">
      <w:pPr>
        <w:pStyle w:val="Prrafodelista"/>
        <w:numPr>
          <w:ilvl w:val="0"/>
          <w:numId w:val="5"/>
        </w:numPr>
        <w:autoSpaceDE w:val="0"/>
        <w:autoSpaceDN w:val="0"/>
        <w:adjustRightInd w:val="0"/>
        <w:spacing w:after="0" w:line="360" w:lineRule="auto"/>
        <w:rPr>
          <w:rFonts w:ascii="Arial" w:hAnsi="Arial" w:cs="Arial"/>
          <w:sz w:val="24"/>
          <w:szCs w:val="24"/>
        </w:rPr>
      </w:pPr>
      <w:r w:rsidRPr="00294005">
        <w:rPr>
          <w:rFonts w:ascii="Arial" w:hAnsi="Arial" w:cs="Arial"/>
          <w:sz w:val="24"/>
          <w:szCs w:val="24"/>
        </w:rPr>
        <w:t>El litro de Solución se vende a 65 pesos, precio de venta Mercado,</w:t>
      </w:r>
    </w:p>
    <w:p w:rsidR="001215C0" w:rsidRPr="00294005" w:rsidRDefault="001215C0" w:rsidP="001215C0">
      <w:pPr>
        <w:pStyle w:val="Prrafodelista"/>
        <w:numPr>
          <w:ilvl w:val="0"/>
          <w:numId w:val="5"/>
        </w:numPr>
        <w:autoSpaceDE w:val="0"/>
        <w:autoSpaceDN w:val="0"/>
        <w:adjustRightInd w:val="0"/>
        <w:spacing w:after="0" w:line="360" w:lineRule="auto"/>
        <w:rPr>
          <w:rFonts w:ascii="Arial" w:hAnsi="Arial" w:cs="Arial"/>
          <w:sz w:val="24"/>
          <w:szCs w:val="24"/>
        </w:rPr>
      </w:pPr>
      <w:r w:rsidRPr="00294005">
        <w:rPr>
          <w:rFonts w:ascii="Arial" w:hAnsi="Arial" w:cs="Arial"/>
          <w:sz w:val="24"/>
          <w:szCs w:val="24"/>
        </w:rPr>
        <w:t>Con un margen de ganancia mínima del 15%.</w:t>
      </w:r>
    </w:p>
    <w:p w:rsidR="001215C0" w:rsidRPr="00294005" w:rsidRDefault="001215C0" w:rsidP="001215C0">
      <w:pPr>
        <w:pStyle w:val="Prrafodelista"/>
        <w:numPr>
          <w:ilvl w:val="0"/>
          <w:numId w:val="5"/>
        </w:numPr>
        <w:autoSpaceDE w:val="0"/>
        <w:autoSpaceDN w:val="0"/>
        <w:adjustRightInd w:val="0"/>
        <w:spacing w:after="0" w:line="360" w:lineRule="auto"/>
        <w:rPr>
          <w:rFonts w:ascii="Arial" w:hAnsi="Arial" w:cs="Arial"/>
          <w:sz w:val="24"/>
          <w:szCs w:val="24"/>
        </w:rPr>
      </w:pPr>
      <w:r w:rsidRPr="00294005">
        <w:rPr>
          <w:rFonts w:ascii="Arial" w:hAnsi="Arial" w:cs="Arial"/>
          <w:sz w:val="24"/>
          <w:szCs w:val="24"/>
        </w:rPr>
        <w:t>1000 litros, una tonelada.</w:t>
      </w:r>
      <w:r w:rsidRPr="00294005">
        <w:rPr>
          <w:rFonts w:ascii="Arial" w:hAnsi="Arial" w:cs="Arial"/>
          <w:sz w:val="24"/>
          <w:szCs w:val="24"/>
        </w:rPr>
        <w:tab/>
      </w:r>
      <w:r w:rsidRPr="00294005">
        <w:rPr>
          <w:rFonts w:ascii="Arial" w:hAnsi="Arial" w:cs="Arial"/>
          <w:sz w:val="24"/>
          <w:szCs w:val="24"/>
        </w:rPr>
        <w:tab/>
      </w:r>
    </w:p>
    <w:p w:rsidR="00286C06" w:rsidRPr="00294005" w:rsidRDefault="00286C06" w:rsidP="00A1001A">
      <w:pPr>
        <w:spacing w:line="360" w:lineRule="auto"/>
        <w:jc w:val="both"/>
        <w:rPr>
          <w:rFonts w:ascii="Arial" w:hAnsi="Arial" w:cs="Arial"/>
          <w:sz w:val="24"/>
          <w:szCs w:val="24"/>
        </w:rPr>
      </w:pPr>
    </w:p>
    <w:p w:rsidR="001215C0" w:rsidRDefault="001215C0" w:rsidP="00A1001A">
      <w:pPr>
        <w:spacing w:line="360" w:lineRule="auto"/>
        <w:jc w:val="both"/>
        <w:rPr>
          <w:rFonts w:ascii="Arial" w:hAnsi="Arial" w:cs="Arial"/>
          <w:sz w:val="24"/>
          <w:szCs w:val="24"/>
        </w:rPr>
      </w:pPr>
      <w:r w:rsidRPr="00CE55DB">
        <w:rPr>
          <w:rFonts w:ascii="Arial" w:hAnsi="Arial" w:cs="Arial"/>
          <w:noProof/>
          <w:lang w:eastAsia="es-CL"/>
        </w:rPr>
        <w:drawing>
          <wp:anchor distT="0" distB="0" distL="114300" distR="114300" simplePos="0" relativeHeight="251660288" behindDoc="0" locked="0" layoutInCell="1" allowOverlap="1" wp14:anchorId="67026320" wp14:editId="61A1BA49">
            <wp:simplePos x="0" y="0"/>
            <wp:positionH relativeFrom="margin">
              <wp:posOffset>0</wp:posOffset>
            </wp:positionH>
            <wp:positionV relativeFrom="paragraph">
              <wp:posOffset>18415</wp:posOffset>
            </wp:positionV>
            <wp:extent cx="5612130" cy="3250958"/>
            <wp:effectExtent l="19050" t="19050" r="26670" b="26035"/>
            <wp:wrapNone/>
            <wp:docPr id="8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3250958"/>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286C06" w:rsidRDefault="00286C06" w:rsidP="00A1001A">
      <w:pPr>
        <w:spacing w:line="360" w:lineRule="auto"/>
        <w:jc w:val="both"/>
        <w:rPr>
          <w:rFonts w:ascii="Arial" w:hAnsi="Arial" w:cs="Arial"/>
          <w:sz w:val="24"/>
          <w:szCs w:val="24"/>
        </w:rPr>
      </w:pPr>
    </w:p>
    <w:p w:rsidR="00286C06" w:rsidRDefault="00286C06" w:rsidP="00A1001A">
      <w:pPr>
        <w:spacing w:line="360" w:lineRule="auto"/>
        <w:jc w:val="both"/>
        <w:rPr>
          <w:rFonts w:ascii="Arial" w:hAnsi="Arial" w:cs="Arial"/>
          <w:sz w:val="24"/>
          <w:szCs w:val="24"/>
        </w:rPr>
      </w:pPr>
    </w:p>
    <w:p w:rsidR="00286C06" w:rsidRDefault="00286C06" w:rsidP="00A1001A">
      <w:pPr>
        <w:spacing w:line="360" w:lineRule="auto"/>
        <w:jc w:val="both"/>
        <w:rPr>
          <w:rFonts w:ascii="Arial" w:hAnsi="Arial" w:cs="Arial"/>
          <w:sz w:val="24"/>
          <w:szCs w:val="24"/>
        </w:rPr>
      </w:pPr>
    </w:p>
    <w:p w:rsidR="00286C06" w:rsidRDefault="00286C06" w:rsidP="00A1001A">
      <w:pPr>
        <w:spacing w:line="360" w:lineRule="auto"/>
        <w:jc w:val="both"/>
        <w:rPr>
          <w:rFonts w:ascii="Arial" w:hAnsi="Arial" w:cs="Arial"/>
          <w:sz w:val="24"/>
          <w:szCs w:val="24"/>
        </w:rPr>
      </w:pPr>
    </w:p>
    <w:p w:rsidR="00286C06" w:rsidRDefault="00286C06" w:rsidP="00A1001A">
      <w:pPr>
        <w:spacing w:line="360" w:lineRule="auto"/>
        <w:jc w:val="both"/>
        <w:rPr>
          <w:rFonts w:ascii="Arial" w:hAnsi="Arial" w:cs="Arial"/>
          <w:sz w:val="24"/>
          <w:szCs w:val="24"/>
        </w:rPr>
      </w:pPr>
    </w:p>
    <w:p w:rsidR="001215C0" w:rsidRDefault="001215C0" w:rsidP="00A1001A">
      <w:pPr>
        <w:spacing w:line="360" w:lineRule="auto"/>
        <w:jc w:val="both"/>
        <w:rPr>
          <w:rFonts w:ascii="Arial" w:hAnsi="Arial" w:cs="Arial"/>
          <w:sz w:val="24"/>
          <w:szCs w:val="24"/>
        </w:rPr>
      </w:pPr>
    </w:p>
    <w:p w:rsidR="001215C0" w:rsidRDefault="001215C0" w:rsidP="00A1001A">
      <w:pPr>
        <w:spacing w:line="360" w:lineRule="auto"/>
        <w:jc w:val="both"/>
        <w:rPr>
          <w:rFonts w:ascii="Arial" w:hAnsi="Arial" w:cs="Arial"/>
          <w:sz w:val="24"/>
          <w:szCs w:val="24"/>
        </w:rPr>
      </w:pPr>
    </w:p>
    <w:p w:rsidR="00294005" w:rsidRDefault="00294005" w:rsidP="00294005">
      <w:pPr>
        <w:pStyle w:val="Ttulo1"/>
      </w:pPr>
      <w:bookmarkStart w:id="4" w:name="_Toc73538303"/>
      <w:r>
        <w:lastRenderedPageBreak/>
        <w:t>IV PESTEL</w:t>
      </w:r>
      <w:bookmarkEnd w:id="4"/>
    </w:p>
    <w:p w:rsidR="00294005" w:rsidRDefault="00294005" w:rsidP="00294005"/>
    <w:p w:rsidR="00294005" w:rsidRPr="00294005" w:rsidRDefault="00294005" w:rsidP="00294005">
      <w:pPr>
        <w:spacing w:line="360" w:lineRule="auto"/>
        <w:ind w:left="708" w:firstLine="708"/>
        <w:jc w:val="both"/>
        <w:rPr>
          <w:rFonts w:ascii="Arial" w:hAnsi="Arial" w:cs="Arial"/>
          <w:sz w:val="24"/>
          <w:szCs w:val="24"/>
        </w:rPr>
      </w:pPr>
      <w:r w:rsidRPr="00294005">
        <w:rPr>
          <w:rFonts w:ascii="Arial" w:hAnsi="Arial" w:cs="Arial"/>
          <w:sz w:val="24"/>
          <w:szCs w:val="24"/>
        </w:rPr>
        <w:t xml:space="preserve">En relación a los </w:t>
      </w:r>
      <w:r w:rsidRPr="00294005">
        <w:rPr>
          <w:rFonts w:ascii="Arial" w:hAnsi="Arial" w:cs="Arial"/>
          <w:b/>
          <w:sz w:val="24"/>
          <w:szCs w:val="24"/>
        </w:rPr>
        <w:t>Factores Políticos</w:t>
      </w:r>
      <w:r w:rsidRPr="00294005">
        <w:rPr>
          <w:rFonts w:ascii="Arial" w:hAnsi="Arial" w:cs="Arial"/>
          <w:sz w:val="24"/>
          <w:szCs w:val="24"/>
        </w:rPr>
        <w:t>, para el sector que involucra al proyecto:</w:t>
      </w:r>
    </w:p>
    <w:p w:rsidR="00294005" w:rsidRPr="00294005" w:rsidRDefault="00294005" w:rsidP="00294005">
      <w:pPr>
        <w:spacing w:line="360" w:lineRule="auto"/>
        <w:ind w:left="708" w:firstLine="708"/>
        <w:jc w:val="both"/>
        <w:rPr>
          <w:rFonts w:ascii="Arial" w:hAnsi="Arial" w:cs="Arial"/>
          <w:sz w:val="24"/>
          <w:szCs w:val="24"/>
        </w:rPr>
      </w:pPr>
      <w:r w:rsidRPr="00294005">
        <w:rPr>
          <w:rFonts w:ascii="Arial" w:hAnsi="Arial" w:cs="Arial"/>
          <w:sz w:val="24"/>
          <w:szCs w:val="24"/>
        </w:rPr>
        <w:t xml:space="preserve"> </w:t>
      </w:r>
    </w:p>
    <w:p w:rsidR="00294005" w:rsidRPr="00294005" w:rsidRDefault="00294005" w:rsidP="00294005">
      <w:pPr>
        <w:pStyle w:val="Prrafodelista"/>
        <w:numPr>
          <w:ilvl w:val="0"/>
          <w:numId w:val="6"/>
        </w:numPr>
        <w:spacing w:after="0" w:line="360" w:lineRule="auto"/>
        <w:jc w:val="both"/>
        <w:rPr>
          <w:rFonts w:ascii="Arial" w:hAnsi="Arial" w:cs="Arial"/>
          <w:sz w:val="24"/>
          <w:szCs w:val="24"/>
        </w:rPr>
      </w:pPr>
      <w:r w:rsidRPr="00294005">
        <w:rPr>
          <w:rFonts w:ascii="Arial" w:hAnsi="Arial" w:cs="Arial"/>
          <w:sz w:val="24"/>
          <w:szCs w:val="24"/>
        </w:rPr>
        <w:t>La Ley 20.780 de la Reforma Tributaria (</w:t>
      </w:r>
      <w:proofErr w:type="gramStart"/>
      <w:r w:rsidRPr="00294005">
        <w:rPr>
          <w:rFonts w:ascii="Arial" w:hAnsi="Arial" w:cs="Arial"/>
          <w:sz w:val="24"/>
          <w:szCs w:val="24"/>
        </w:rPr>
        <w:t>Septiembre</w:t>
      </w:r>
      <w:proofErr w:type="gramEnd"/>
      <w:r w:rsidRPr="00294005">
        <w:rPr>
          <w:rFonts w:ascii="Arial" w:hAnsi="Arial" w:cs="Arial"/>
          <w:sz w:val="24"/>
          <w:szCs w:val="24"/>
        </w:rPr>
        <w:t xml:space="preserve"> de 2014), que viene a plantear nuevos régimen tributario de las obligaciones que deben cumplir las PYMES.</w:t>
      </w:r>
    </w:p>
    <w:p w:rsidR="00294005" w:rsidRPr="00294005" w:rsidRDefault="00294005" w:rsidP="00294005">
      <w:pPr>
        <w:pStyle w:val="Prrafodelista"/>
        <w:spacing w:line="360" w:lineRule="auto"/>
        <w:ind w:left="1428"/>
        <w:jc w:val="both"/>
        <w:rPr>
          <w:rFonts w:ascii="Arial" w:hAnsi="Arial" w:cs="Arial"/>
          <w:sz w:val="24"/>
          <w:szCs w:val="24"/>
        </w:rPr>
      </w:pPr>
    </w:p>
    <w:p w:rsidR="00294005" w:rsidRPr="00294005" w:rsidRDefault="00294005" w:rsidP="00294005">
      <w:pPr>
        <w:pStyle w:val="Prrafodelista"/>
        <w:numPr>
          <w:ilvl w:val="0"/>
          <w:numId w:val="6"/>
        </w:numPr>
        <w:spacing w:after="0" w:line="360" w:lineRule="auto"/>
        <w:jc w:val="both"/>
        <w:rPr>
          <w:rFonts w:ascii="Arial" w:hAnsi="Arial" w:cs="Arial"/>
          <w:sz w:val="24"/>
          <w:szCs w:val="24"/>
        </w:rPr>
      </w:pPr>
      <w:r w:rsidRPr="00294005">
        <w:rPr>
          <w:rFonts w:ascii="Arial" w:hAnsi="Arial" w:cs="Arial"/>
          <w:sz w:val="24"/>
          <w:szCs w:val="24"/>
        </w:rPr>
        <w:t>La Ley 20.899 de Simplificaciones de la Reforma Tributaria (</w:t>
      </w:r>
      <w:proofErr w:type="gramStart"/>
      <w:r w:rsidRPr="00294005">
        <w:rPr>
          <w:rFonts w:ascii="Arial" w:hAnsi="Arial" w:cs="Arial"/>
          <w:sz w:val="24"/>
          <w:szCs w:val="24"/>
        </w:rPr>
        <w:t>Febrero</w:t>
      </w:r>
      <w:proofErr w:type="gramEnd"/>
      <w:r w:rsidRPr="00294005">
        <w:rPr>
          <w:rFonts w:ascii="Arial" w:hAnsi="Arial" w:cs="Arial"/>
          <w:sz w:val="24"/>
          <w:szCs w:val="24"/>
        </w:rPr>
        <w:t xml:space="preserve"> de 2016), el cual mantiene las tasas contenidas en la Ley 20.780, es decir la tasa de impuesto de primera categoría para las empresas es de 25%, con crédito del 100% del impuesto para los contribuyentes del impuesto global complementario y adicional, en la cual sabe la SPA o Sociedades por Acción.</w:t>
      </w:r>
    </w:p>
    <w:p w:rsidR="00294005" w:rsidRPr="00294005" w:rsidRDefault="00294005" w:rsidP="00294005">
      <w:pPr>
        <w:spacing w:line="360" w:lineRule="auto"/>
        <w:jc w:val="both"/>
        <w:rPr>
          <w:rFonts w:ascii="Arial" w:hAnsi="Arial" w:cs="Arial"/>
          <w:sz w:val="24"/>
          <w:szCs w:val="24"/>
        </w:rPr>
      </w:pPr>
    </w:p>
    <w:p w:rsidR="00294005" w:rsidRPr="00294005" w:rsidRDefault="00294005" w:rsidP="00294005">
      <w:pPr>
        <w:pStyle w:val="Prrafodelista"/>
        <w:numPr>
          <w:ilvl w:val="0"/>
          <w:numId w:val="6"/>
        </w:numPr>
        <w:spacing w:after="0" w:line="360" w:lineRule="auto"/>
        <w:jc w:val="both"/>
        <w:rPr>
          <w:rFonts w:ascii="Arial" w:hAnsi="Arial" w:cs="Arial"/>
          <w:sz w:val="24"/>
          <w:szCs w:val="24"/>
        </w:rPr>
      </w:pPr>
      <w:r w:rsidRPr="00294005">
        <w:rPr>
          <w:rFonts w:ascii="Arial" w:hAnsi="Arial" w:cs="Arial"/>
          <w:sz w:val="24"/>
          <w:szCs w:val="24"/>
        </w:rPr>
        <w:t>Ley 20.494 que facilita la constitución y funcionamiento de nuevas empresas (</w:t>
      </w:r>
      <w:proofErr w:type="gramStart"/>
      <w:r w:rsidRPr="00294005">
        <w:rPr>
          <w:rFonts w:ascii="Arial" w:hAnsi="Arial" w:cs="Arial"/>
          <w:sz w:val="24"/>
          <w:szCs w:val="24"/>
        </w:rPr>
        <w:t>Enero</w:t>
      </w:r>
      <w:proofErr w:type="gramEnd"/>
      <w:r w:rsidRPr="00294005">
        <w:rPr>
          <w:rFonts w:ascii="Arial" w:hAnsi="Arial" w:cs="Arial"/>
          <w:sz w:val="24"/>
          <w:szCs w:val="24"/>
        </w:rPr>
        <w:t xml:space="preserve"> de 2011). </w:t>
      </w:r>
    </w:p>
    <w:p w:rsidR="00294005" w:rsidRPr="00294005" w:rsidRDefault="00294005" w:rsidP="00294005">
      <w:pPr>
        <w:spacing w:line="360" w:lineRule="auto"/>
        <w:jc w:val="both"/>
        <w:rPr>
          <w:rFonts w:ascii="Arial" w:hAnsi="Arial" w:cs="Arial"/>
          <w:sz w:val="24"/>
          <w:szCs w:val="24"/>
        </w:rPr>
      </w:pPr>
    </w:p>
    <w:p w:rsidR="00294005" w:rsidRPr="00294005" w:rsidRDefault="00294005" w:rsidP="00294005">
      <w:pPr>
        <w:pStyle w:val="Prrafodelista"/>
        <w:numPr>
          <w:ilvl w:val="0"/>
          <w:numId w:val="6"/>
        </w:numPr>
        <w:spacing w:after="0" w:line="360" w:lineRule="auto"/>
        <w:jc w:val="both"/>
        <w:rPr>
          <w:rFonts w:ascii="Arial" w:hAnsi="Arial" w:cs="Arial"/>
          <w:sz w:val="24"/>
          <w:szCs w:val="24"/>
        </w:rPr>
      </w:pPr>
      <w:r w:rsidRPr="00294005">
        <w:rPr>
          <w:rFonts w:ascii="Arial" w:hAnsi="Arial" w:cs="Arial"/>
          <w:sz w:val="24"/>
          <w:szCs w:val="24"/>
        </w:rPr>
        <w:t>La Ley 20.659 que reduce los costos de crear y modificar sociedades (</w:t>
      </w:r>
      <w:proofErr w:type="gramStart"/>
      <w:r w:rsidRPr="00294005">
        <w:rPr>
          <w:rFonts w:ascii="Arial" w:hAnsi="Arial" w:cs="Arial"/>
          <w:sz w:val="24"/>
          <w:szCs w:val="24"/>
        </w:rPr>
        <w:t>Febrero</w:t>
      </w:r>
      <w:proofErr w:type="gramEnd"/>
      <w:r w:rsidRPr="00294005">
        <w:rPr>
          <w:rFonts w:ascii="Arial" w:hAnsi="Arial" w:cs="Arial"/>
          <w:sz w:val="24"/>
          <w:szCs w:val="24"/>
        </w:rPr>
        <w:t xml:space="preserve"> de 2013).</w:t>
      </w:r>
    </w:p>
    <w:p w:rsidR="00294005" w:rsidRPr="00294005" w:rsidRDefault="00294005" w:rsidP="00294005">
      <w:pPr>
        <w:spacing w:line="360" w:lineRule="auto"/>
        <w:jc w:val="both"/>
        <w:rPr>
          <w:rFonts w:ascii="Arial" w:hAnsi="Arial" w:cs="Arial"/>
          <w:sz w:val="24"/>
          <w:szCs w:val="24"/>
        </w:rPr>
      </w:pPr>
    </w:p>
    <w:p w:rsidR="00294005" w:rsidRPr="00294005" w:rsidRDefault="00294005" w:rsidP="00294005">
      <w:pPr>
        <w:pStyle w:val="Prrafodelista"/>
        <w:numPr>
          <w:ilvl w:val="0"/>
          <w:numId w:val="6"/>
        </w:numPr>
        <w:spacing w:after="0" w:line="360" w:lineRule="auto"/>
        <w:jc w:val="both"/>
        <w:rPr>
          <w:rFonts w:ascii="Arial" w:hAnsi="Arial" w:cs="Arial"/>
          <w:sz w:val="24"/>
          <w:szCs w:val="24"/>
        </w:rPr>
      </w:pPr>
      <w:r w:rsidRPr="00294005">
        <w:rPr>
          <w:rFonts w:ascii="Arial" w:hAnsi="Arial" w:cs="Arial"/>
          <w:sz w:val="24"/>
          <w:szCs w:val="24"/>
        </w:rPr>
        <w:t>El país vive en un entorno político problemático, en relación a la percepción de la sociedad de la política, acompañado de la publicación de la Ley 21.200 que autoriza plebiscito para nueva Constitución, en el que la ciudadanía dispondrá de su preferencia en relación a la pregunta ¿Quiere usted una Nueva Constitución? En la cual se podrá responder Apruebo o Rechazo.</w:t>
      </w: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 xml:space="preserve"> </w:t>
      </w:r>
      <w:r w:rsidRPr="00294005">
        <w:rPr>
          <w:rFonts w:ascii="Arial" w:hAnsi="Arial" w:cs="Arial"/>
          <w:b/>
          <w:sz w:val="24"/>
          <w:szCs w:val="24"/>
        </w:rPr>
        <w:t xml:space="preserve">Factores Económicos: </w:t>
      </w:r>
      <w:r w:rsidRPr="00294005">
        <w:rPr>
          <w:rFonts w:ascii="Arial" w:hAnsi="Arial" w:cs="Arial"/>
          <w:sz w:val="24"/>
          <w:szCs w:val="24"/>
        </w:rPr>
        <w:t xml:space="preserve">En el presente periodo se vive un momento de Pandemia mundial en el que ha originado múltiples daño en los distintos países donde se declaró la presencia del coronavirus del cual no escapa Chile, daño que </w:t>
      </w:r>
      <w:r w:rsidRPr="00294005">
        <w:rPr>
          <w:rFonts w:ascii="Arial" w:hAnsi="Arial" w:cs="Arial"/>
          <w:sz w:val="24"/>
          <w:szCs w:val="24"/>
        </w:rPr>
        <w:lastRenderedPageBreak/>
        <w:t xml:space="preserve">afecta en especial a la economía que trajo como principal hecho la paralización de varios sectores productivos del que destacan el sector gastronómico, entretenimiento, industria del </w:t>
      </w:r>
      <w:proofErr w:type="spellStart"/>
      <w:r w:rsidRPr="00294005">
        <w:rPr>
          <w:rFonts w:ascii="Arial" w:hAnsi="Arial" w:cs="Arial"/>
          <w:sz w:val="24"/>
          <w:szCs w:val="24"/>
        </w:rPr>
        <w:t>Retail</w:t>
      </w:r>
      <w:proofErr w:type="spellEnd"/>
      <w:r w:rsidRPr="00294005">
        <w:rPr>
          <w:rFonts w:ascii="Arial" w:hAnsi="Arial" w:cs="Arial"/>
          <w:sz w:val="24"/>
          <w:szCs w:val="24"/>
        </w:rPr>
        <w:t>, industria de Servicios presenciales, además del desarrollo de proyectos de expansión tanto del ámbito privado como público. En general la minería se vio afectada por la situación, pero ha sido un impacto de medio debido a que ha podido continuar con el desarrollo de sus actividades de manera parcializada, pero sin detención, ante ello vemos que este rubro ha sido capaz de sobre llevar los inconvenientes del coronavirus, pero que trajo consigo la paralización como postergación en la renovación de contrato de servicios, donde se privilegia aquellos servicios básicos que permitan el desarrollo de la actividad minera. Dentro del cual se tiene como principal eje los servicios de mantenimiento, ya sea en la diversa área de una compañía, del cual no escapa la estabilización de caminos.</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El IMACEC (Indicador Mensual de Actividad Económica) es una estimación que resume la actividad de los distintos sectores de la economía en un determinado mes, a precios del año anterior, su variación interanual constituye una aproximación de la evolución del PIB (Producto interno Bruto), lo resultados mostrados en agosto de 2020 cayó 11,3% en comparación con igual mes del año anterior. Eso sí, la serie desestacionaria creció 2,8% respecto del mes anterior. El IMACEC minero disminuyo 3,4% minero, mientras que el IMACEC no minero lo hizo en 12,2%. Donde el efecto de ello es el resultado de los efectos de la emergencia sanitaria. Como es conocido las actividades más afectadas son los servicios y construcción. Los datos presentados por el Banco Central de Chile avizoran una caída de la economía originada por la presencia del coronavirus, lo que trae como consecuencia un desequilibrio del mismo, pero donde la minería ha sido uno delos sectores con menor impactos en relación a las demás industrias del país.</w:t>
      </w: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 xml:space="preserve">En el trimestre junio-agosto de 2020, la estimación de la tasa de desocupación nacional fue 12,9%, incrementándose 5,3 puntos porcentuales (pp.) en doce meses. Anualmente, la estimación del total de ocupados descendió 19,4%. La disminución de los ocupados fue incidida, principalmente, por los sectores </w:t>
      </w:r>
      <w:r w:rsidRPr="00294005">
        <w:rPr>
          <w:rFonts w:ascii="Arial" w:hAnsi="Arial" w:cs="Arial"/>
          <w:sz w:val="24"/>
          <w:szCs w:val="24"/>
        </w:rPr>
        <w:lastRenderedPageBreak/>
        <w:t xml:space="preserve">comercio (-22,0%), construcción (-34,9%) y agricultura y pesca (-34,3%). Los datos arrojados por el INE (Instituto Nacional de Estadísticas – Chile), visualiza la realidad en temas de empleabilidad del país, que al igual que los demás indicadores económicos dan a conocer un descenso en la economía donde, se estima la postergación en de desarrollo de proyectos económicos debido al coronavirus, pero como se concluye en los otros indicadores la minería es un sector afectado pero que su efecto ha sido menor en relación a otras industrias del país. </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En octubre del 2020, de acuerdo a lo informado por la Revista Nueva minería &amp; Energía, señala que le precio del cobre experimentó un salto de casi 2% en Londres. El Cobre experimenta una fuerte alza y una vez más recupera la barrera de los US$ 3 por libra, en medio del buen pie de los mercados globales y las positivas cifras de China. El Cobre también se ve favorecido por el retroceso que muestra el dólar frente a las principales monedas del mundo. Es por ello que el Cobre se ve afectado con menor envergadura que otras industrias del país, lo cual muestra un panorama no tan oscuro como los demás sectores productivos del país.</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b/>
          <w:sz w:val="24"/>
          <w:szCs w:val="24"/>
        </w:rPr>
        <w:t>Factor Social:</w:t>
      </w:r>
      <w:r w:rsidRPr="00294005">
        <w:rPr>
          <w:rFonts w:ascii="Arial" w:hAnsi="Arial" w:cs="Arial"/>
          <w:sz w:val="24"/>
          <w:szCs w:val="24"/>
        </w:rPr>
        <w:t xml:space="preserve"> en donde cabe mencionar la importancia de la nueva manera de hacer empresa, que vincula la Responsabilidad Social Empresarial (RSE), que hace referencia a que una empresa es socialmente responsable, cuando en la toma de decisión valora el impacto de sus acciones en las comunidades, en los trabajadores y en el medio ambiente. Ante ello las empresas han buscado alternativas para el desarrollo de sus procesos productivos se han lo menos contaminantes posibles, ya sea en el desarrollo propia de la actividad como en las actividades secundarias, donde no queda ajeno el sector de mantenimiento de caminos, considerando que la Bischofita es un elemento que controla y mitiga la suspensión del polvo en camino no pavimentados, permite la reducción mayor al 90% del consumo de agua utilizada en el riego de camino, reduce el daño a vehículos en circulación y del camino que provoca la reducción de accidentes, entre otros. Por lo que el uso de este producto genera mayores beneficios que otros agentes estabilizadores que se ofrecen al mercado.</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b/>
          <w:sz w:val="24"/>
          <w:szCs w:val="24"/>
        </w:rPr>
        <w:t>Factores Tecnológicos:</w:t>
      </w:r>
      <w:r w:rsidRPr="00294005">
        <w:rPr>
          <w:rFonts w:ascii="Arial" w:hAnsi="Arial" w:cs="Arial"/>
          <w:sz w:val="24"/>
          <w:szCs w:val="24"/>
        </w:rPr>
        <w:t xml:space="preserve"> en general los factores tecnológicos aplicados a la industria se basan principalmente en el acceso al mercado con red tecnológica, donde gran parte de los negocios se realizan por vía red, hasta las facturaciones son llevadas a cabo por esta vía, donde la utilización de la banda ancha es primordial en cualquier tipo de negocio. Además la intervención de los ERP que contempla herramientas de almacenamiento de datos que cumplen el fin de agruparlas con el objetivo de influir en la toma de decisiones, teniendo la información que se requiere en el momento preciso, también el uso de la tecnología celular como medio de comunicación más directa que debe tener toda organización que busca el desarrollo de negocio, que va desde la comunicación con sus empleados hasta la comunicación con altos mandos y clientes potenciales como directos.</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Es de importancia la tecnología aplicada a los vehículos, donde las diversas marcas de vehículos ofrecen mayor potencia, seguridad y ahorro de recursos al momento de utilizar distintos equipos de transportes, que van desde autos hasta camiones, equipos que son utilizados para el traslado de personal y para la distribución de productos y servicios, del cual no escapa el sector al cual está inmerso el proyecto.</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9"/>
        <w:jc w:val="both"/>
        <w:rPr>
          <w:rFonts w:ascii="Arial" w:hAnsi="Arial" w:cs="Arial"/>
          <w:sz w:val="24"/>
          <w:szCs w:val="24"/>
        </w:rPr>
      </w:pPr>
      <w:r w:rsidRPr="00294005">
        <w:rPr>
          <w:rFonts w:ascii="Arial" w:hAnsi="Arial" w:cs="Arial"/>
          <w:b/>
          <w:sz w:val="24"/>
          <w:szCs w:val="24"/>
        </w:rPr>
        <w:t>Factor Ecológico:</w:t>
      </w:r>
      <w:r w:rsidRPr="00294005">
        <w:rPr>
          <w:rFonts w:ascii="Arial" w:hAnsi="Arial" w:cs="Arial"/>
          <w:sz w:val="24"/>
          <w:szCs w:val="24"/>
        </w:rPr>
        <w:t xml:space="preserve"> de acuerdo a la Hoja de Seguridad del Fabricante de Cloruro de Magnesio (</w:t>
      </w:r>
      <w:proofErr w:type="spellStart"/>
      <w:r w:rsidRPr="00294005">
        <w:rPr>
          <w:rFonts w:ascii="Arial" w:hAnsi="Arial" w:cs="Arial"/>
          <w:sz w:val="24"/>
          <w:szCs w:val="24"/>
        </w:rPr>
        <w:t>Salmag</w:t>
      </w:r>
      <w:proofErr w:type="spellEnd"/>
      <w:r w:rsidRPr="00294005">
        <w:rPr>
          <w:rFonts w:ascii="Arial" w:hAnsi="Arial" w:cs="Arial"/>
          <w:sz w:val="24"/>
          <w:szCs w:val="24"/>
        </w:rPr>
        <w:t xml:space="preserve">) y a la </w:t>
      </w:r>
      <w:proofErr w:type="spellStart"/>
      <w:r w:rsidRPr="00294005">
        <w:rPr>
          <w:rFonts w:ascii="Arial" w:hAnsi="Arial" w:cs="Arial"/>
          <w:sz w:val="24"/>
          <w:szCs w:val="24"/>
        </w:rPr>
        <w:t>NCh</w:t>
      </w:r>
      <w:proofErr w:type="spellEnd"/>
      <w:r w:rsidRPr="00294005">
        <w:rPr>
          <w:rFonts w:ascii="Arial" w:hAnsi="Arial" w:cs="Arial"/>
          <w:sz w:val="24"/>
          <w:szCs w:val="24"/>
        </w:rPr>
        <w:t xml:space="preserve">. 382 Of. 2004, este material es declarado como No Peligroso, porque no genera riesgos para el medio ambiente, tampoco para la naturaleza, además su extracción es 100% natural, ya que es generada a partir de las salmueras ricas en magnesio existentes en el Salar de Atacama. </w:t>
      </w:r>
    </w:p>
    <w:p w:rsidR="00294005" w:rsidRPr="00294005" w:rsidRDefault="00294005" w:rsidP="00294005">
      <w:pPr>
        <w:spacing w:line="360" w:lineRule="auto"/>
        <w:ind w:firstLine="709"/>
        <w:jc w:val="both"/>
        <w:rPr>
          <w:rFonts w:ascii="Arial" w:hAnsi="Arial" w:cs="Arial"/>
          <w:sz w:val="24"/>
          <w:szCs w:val="24"/>
        </w:rPr>
      </w:pPr>
    </w:p>
    <w:p w:rsidR="00294005" w:rsidRDefault="00294005" w:rsidP="00294005">
      <w:pPr>
        <w:spacing w:line="360" w:lineRule="auto"/>
        <w:ind w:firstLine="709"/>
        <w:jc w:val="both"/>
        <w:rPr>
          <w:rFonts w:ascii="Arial" w:hAnsi="Arial" w:cs="Arial"/>
          <w:sz w:val="24"/>
          <w:szCs w:val="24"/>
        </w:rPr>
      </w:pPr>
      <w:r w:rsidRPr="00294005">
        <w:rPr>
          <w:rFonts w:ascii="Arial" w:hAnsi="Arial" w:cs="Arial"/>
          <w:b/>
          <w:sz w:val="24"/>
          <w:szCs w:val="24"/>
        </w:rPr>
        <w:t>Factor Legal:</w:t>
      </w:r>
      <w:r w:rsidRPr="00294005">
        <w:rPr>
          <w:rFonts w:ascii="Arial" w:hAnsi="Arial" w:cs="Arial"/>
          <w:sz w:val="24"/>
          <w:szCs w:val="24"/>
        </w:rPr>
        <w:t xml:space="preserve"> Los caminos en Chile están regulados por el Decreto 2190, el cual es el Reglamento de la Ley General de Caminos, también es fundamental la Ley 4.851, especialmente el artículo 32 que habla sobre la construcción de caminos, por último está la ley 15.840 en el artículo 18 que dice lo siguiente: “A la dirección </w:t>
      </w:r>
      <w:r w:rsidRPr="00294005">
        <w:rPr>
          <w:rFonts w:ascii="Arial" w:hAnsi="Arial" w:cs="Arial"/>
          <w:sz w:val="24"/>
          <w:szCs w:val="24"/>
        </w:rPr>
        <w:lastRenderedPageBreak/>
        <w:t xml:space="preserve">de vialidad le corresponderá la realización del estudio, proyección, construcción, mejoramiento, defensa, reparación conservación y señalización de los caminos, puentes rurales y sus obras complementarias que se ejecuten con fondos fiscales o con aporte del Estado y que no corresponden a otros Servicios de la Dirección General de Obras Públicas”, “ La conservación y reparación de las obras entregadas en concesión, serán de cargo de los concesionarios”. También es importante la </w:t>
      </w:r>
      <w:r w:rsidRPr="00294005">
        <w:rPr>
          <w:rFonts w:ascii="Arial" w:hAnsi="Arial" w:cs="Arial"/>
          <w:b/>
          <w:bCs/>
          <w:sz w:val="24"/>
          <w:szCs w:val="24"/>
          <w:shd w:val="clear" w:color="auto" w:fill="FFFFFF"/>
        </w:rPr>
        <w:t>ley</w:t>
      </w:r>
      <w:r w:rsidRPr="00294005">
        <w:rPr>
          <w:rFonts w:ascii="Arial" w:hAnsi="Arial" w:cs="Arial"/>
          <w:sz w:val="24"/>
          <w:szCs w:val="24"/>
          <w:shd w:val="clear" w:color="auto" w:fill="FFFFFF"/>
        </w:rPr>
        <w:t> 16.744, porque asegura que los/as trabajadores/as dependientes, tanto del sector privado, como del sector público, y los trabajadores independientes que coticen, estarán protegidos por el seguro contra riesgos de accidentes del trabajo y enfermedades profesionales.</w:t>
      </w:r>
      <w:r w:rsidRPr="00294005">
        <w:rPr>
          <w:rFonts w:ascii="Arial" w:hAnsi="Arial" w:cs="Arial"/>
          <w:sz w:val="24"/>
          <w:szCs w:val="24"/>
        </w:rPr>
        <w:t xml:space="preserve">  </w:t>
      </w: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Default="002C4069" w:rsidP="00294005">
      <w:pPr>
        <w:spacing w:line="360" w:lineRule="auto"/>
        <w:ind w:firstLine="709"/>
        <w:jc w:val="both"/>
        <w:rPr>
          <w:rFonts w:ascii="Arial" w:hAnsi="Arial" w:cs="Arial"/>
          <w:sz w:val="24"/>
          <w:szCs w:val="24"/>
        </w:rPr>
      </w:pPr>
    </w:p>
    <w:p w:rsidR="002C4069" w:rsidRPr="00294005" w:rsidRDefault="002C4069" w:rsidP="00294005">
      <w:pPr>
        <w:spacing w:line="360" w:lineRule="auto"/>
        <w:ind w:firstLine="709"/>
        <w:jc w:val="both"/>
        <w:rPr>
          <w:rFonts w:ascii="Arial" w:hAnsi="Arial" w:cs="Arial"/>
          <w:sz w:val="24"/>
          <w:szCs w:val="24"/>
        </w:rPr>
      </w:pPr>
    </w:p>
    <w:p w:rsidR="00294005" w:rsidRDefault="00294005" w:rsidP="00294005">
      <w:pPr>
        <w:pStyle w:val="Ttulo1"/>
      </w:pPr>
      <w:bookmarkStart w:id="5" w:name="_Toc73538304"/>
      <w:r>
        <w:lastRenderedPageBreak/>
        <w:t>V PORTER</w:t>
      </w:r>
      <w:bookmarkEnd w:id="5"/>
    </w:p>
    <w:p w:rsidR="00294005" w:rsidRPr="00294005" w:rsidRDefault="00294005" w:rsidP="00294005">
      <w:pPr>
        <w:rPr>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 xml:space="preserve">La </w:t>
      </w:r>
      <w:r w:rsidRPr="00294005">
        <w:rPr>
          <w:rFonts w:ascii="Arial" w:hAnsi="Arial" w:cs="Arial"/>
          <w:b/>
          <w:sz w:val="24"/>
          <w:szCs w:val="24"/>
        </w:rPr>
        <w:t>Amenaza de Nuevos Entrantes</w:t>
      </w:r>
      <w:r w:rsidRPr="00294005">
        <w:rPr>
          <w:rFonts w:ascii="Arial" w:hAnsi="Arial" w:cs="Arial"/>
          <w:sz w:val="24"/>
          <w:szCs w:val="24"/>
        </w:rPr>
        <w:t xml:space="preserve"> (barreras de entrada), sobre ello se informa que la inversión no es de tanta envergadura para que empresas del sector o empresas relacionadas con el ámbito de pavimentación, ingresen al este tipo de segmento adicionalmente, al involucramiento de personas con gran poder adquisitivo que puedan unirse y presentar interés en el inicio de una actividad empresarial como sociedad, por lo que la amenaza es alta, eso sí, lo nuestro se acota a la participación en proyecto se subcontratación con el fin de acotar los esfuerzo, al solo iniciar el giro previa obtención de un proyecto.</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 xml:space="preserve">Frente a la </w:t>
      </w:r>
      <w:r w:rsidRPr="00294005">
        <w:rPr>
          <w:rFonts w:ascii="Arial" w:hAnsi="Arial" w:cs="Arial"/>
          <w:b/>
          <w:sz w:val="24"/>
          <w:szCs w:val="24"/>
        </w:rPr>
        <w:t>Rivalidad entre los Competidores</w:t>
      </w:r>
      <w:r w:rsidRPr="00294005">
        <w:rPr>
          <w:rFonts w:ascii="Arial" w:hAnsi="Arial" w:cs="Arial"/>
          <w:sz w:val="24"/>
          <w:szCs w:val="24"/>
        </w:rPr>
        <w:t xml:space="preserve">, el proyecto presenta  competidores conocidos en el sector como es SALMAG Ltda. Empresa líder en el uso de Bischofita que posee presencia en Chile y en otros países como Argentina, Perú y Bolivia, siendo sus mercados predilectos la minería y obras públicas, además se encuentra BITUMIX empresa con un amplia gama de servicios, entre lo que destaca el mantenimiento de infraestructura (caminos) para distintos sectores como es de carreteras, minería, forestal, urbanización, patios, etc. Con presencia desde el norte hasta el sur del país, y por último destacar a </w:t>
      </w:r>
      <w:proofErr w:type="spellStart"/>
      <w:r w:rsidRPr="00294005">
        <w:rPr>
          <w:rFonts w:ascii="Arial" w:hAnsi="Arial" w:cs="Arial"/>
          <w:sz w:val="24"/>
          <w:szCs w:val="24"/>
        </w:rPr>
        <w:t>VialCorp</w:t>
      </w:r>
      <w:proofErr w:type="spellEnd"/>
      <w:r w:rsidRPr="00294005">
        <w:rPr>
          <w:rFonts w:ascii="Arial" w:hAnsi="Arial" w:cs="Arial"/>
          <w:sz w:val="24"/>
          <w:szCs w:val="24"/>
        </w:rPr>
        <w:t xml:space="preserve"> que es una empresa de mantenimiento de caminos casa matriz en Santiago la cual tiene participación en el mercado basado en el proyecto de la División Andina,  Si en sí, todas ellas son rivales fuertes dentro del mercado pero no se avizora mayor competencia, por lo que la rivalidad es considerada medianamente normal, por lo que el proyecto tiene mercado en relación a que existe una gran cantidad de mineras en la zona, donde se podrá captar parte de ese mercado que SALMAG Ltda., BITUMIX y </w:t>
      </w:r>
      <w:proofErr w:type="spellStart"/>
      <w:r w:rsidRPr="00294005">
        <w:rPr>
          <w:rFonts w:ascii="Arial" w:hAnsi="Arial" w:cs="Arial"/>
          <w:sz w:val="24"/>
          <w:szCs w:val="24"/>
        </w:rPr>
        <w:t>VialCorp</w:t>
      </w:r>
      <w:proofErr w:type="spellEnd"/>
      <w:r w:rsidRPr="00294005">
        <w:rPr>
          <w:rFonts w:ascii="Arial" w:hAnsi="Arial" w:cs="Arial"/>
          <w:sz w:val="24"/>
          <w:szCs w:val="24"/>
        </w:rPr>
        <w:t xml:space="preserve"> No tenga participación. </w:t>
      </w:r>
    </w:p>
    <w:p w:rsidR="00294005" w:rsidRPr="00294005" w:rsidRDefault="00294005" w:rsidP="00294005">
      <w:pPr>
        <w:spacing w:line="360" w:lineRule="auto"/>
        <w:ind w:firstLine="709"/>
        <w:jc w:val="both"/>
        <w:rPr>
          <w:rFonts w:ascii="Arial" w:hAnsi="Arial" w:cs="Arial"/>
          <w:color w:val="000000"/>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 xml:space="preserve">El </w:t>
      </w:r>
      <w:r w:rsidRPr="00294005">
        <w:rPr>
          <w:rFonts w:ascii="Arial" w:hAnsi="Arial" w:cs="Arial"/>
          <w:b/>
          <w:sz w:val="24"/>
          <w:szCs w:val="24"/>
        </w:rPr>
        <w:t>Poder de Negociación de los Proveedores</w:t>
      </w:r>
      <w:r w:rsidRPr="00294005">
        <w:rPr>
          <w:rFonts w:ascii="Arial" w:hAnsi="Arial" w:cs="Arial"/>
          <w:sz w:val="24"/>
          <w:szCs w:val="24"/>
        </w:rPr>
        <w:t xml:space="preserve">, dentro de este rubro se tiene empresas proveedoras del mineral de las cuales se encuentran Alma inversiones Chile ubicada en Antofagasta, del mismo modo que Roca Roja Innova también ubicada en la región, </w:t>
      </w:r>
      <w:proofErr w:type="spellStart"/>
      <w:r w:rsidRPr="00294005">
        <w:rPr>
          <w:rFonts w:ascii="Arial" w:hAnsi="Arial" w:cs="Arial"/>
          <w:sz w:val="24"/>
          <w:szCs w:val="24"/>
        </w:rPr>
        <w:t>Qi</w:t>
      </w:r>
      <w:proofErr w:type="spellEnd"/>
      <w:r w:rsidRPr="00294005">
        <w:rPr>
          <w:rFonts w:ascii="Arial" w:hAnsi="Arial" w:cs="Arial"/>
          <w:sz w:val="24"/>
          <w:szCs w:val="24"/>
        </w:rPr>
        <w:t xml:space="preserve"> Chile con presencia en Santiago, SQM con área comercial </w:t>
      </w:r>
      <w:r w:rsidRPr="00294005">
        <w:rPr>
          <w:rFonts w:ascii="Arial" w:hAnsi="Arial" w:cs="Arial"/>
          <w:sz w:val="24"/>
          <w:szCs w:val="24"/>
        </w:rPr>
        <w:lastRenderedPageBreak/>
        <w:t>del producto, y la propia SALMAG Ltda. Ante lo investigado se tiene una importante red de acceso al producto lo que hace que no esté centralizado en un solo proveedor, donde se puede generar alianza estratégica con un proveedor particular con el objetivo de obtener un precio un poco menor al mercado, donde se destaque el trabajo en equipo teniendo acceso al producto de manera más efectiva sin recurrir a canales más prolongados y formalizados en la entrega del producto.</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sz w:val="24"/>
          <w:szCs w:val="24"/>
        </w:rPr>
      </w:pPr>
      <w:r w:rsidRPr="00294005">
        <w:rPr>
          <w:rFonts w:ascii="Arial" w:hAnsi="Arial" w:cs="Arial"/>
          <w:sz w:val="24"/>
          <w:szCs w:val="24"/>
        </w:rPr>
        <w:t xml:space="preserve">El </w:t>
      </w:r>
      <w:r w:rsidRPr="00294005">
        <w:rPr>
          <w:rFonts w:ascii="Arial" w:hAnsi="Arial" w:cs="Arial"/>
          <w:b/>
          <w:sz w:val="24"/>
          <w:szCs w:val="24"/>
        </w:rPr>
        <w:t>Poder de Negociación de los Compradores</w:t>
      </w:r>
      <w:r w:rsidRPr="00294005">
        <w:rPr>
          <w:rFonts w:ascii="Arial" w:hAnsi="Arial" w:cs="Arial"/>
          <w:sz w:val="24"/>
          <w:szCs w:val="24"/>
        </w:rPr>
        <w:t>, los mercados a los cuales tiene un espectro el producto son principalmente el mantenimiento de caminos agrícola, forestales, red vial privado, red vial estatal, red vial de la gran y mediana minería, donde en el mercado que se tiene pensado en destinar nuestro proyecto es en el ámbito de la minería, centrado en licitaciones contractuales con empresas de la minería basada en un servicio estandarizado, donde en general el poder de negociación es alto de los clientes, ya que por medio de la generación se subcontratación del servicio estos entregan un precio definido para el servicio, donde el servicio mismo tendrá que realizar estudios de costos que permita que lo ofrecido cubra los costos de realizar la inversión, considerando que la empresa subcontratista poseen importante ganancias (Leiva, 2009).</w:t>
      </w:r>
    </w:p>
    <w:p w:rsidR="00294005" w:rsidRPr="00294005" w:rsidRDefault="00294005" w:rsidP="00294005">
      <w:pPr>
        <w:spacing w:line="360" w:lineRule="auto"/>
        <w:ind w:firstLine="708"/>
        <w:jc w:val="both"/>
        <w:rPr>
          <w:rFonts w:ascii="Arial" w:hAnsi="Arial" w:cs="Arial"/>
          <w:sz w:val="24"/>
          <w:szCs w:val="24"/>
        </w:rPr>
      </w:pPr>
    </w:p>
    <w:p w:rsidR="00294005" w:rsidRPr="00294005" w:rsidRDefault="00294005" w:rsidP="00294005">
      <w:pPr>
        <w:spacing w:line="360" w:lineRule="auto"/>
        <w:ind w:firstLine="708"/>
        <w:jc w:val="both"/>
        <w:rPr>
          <w:rFonts w:ascii="Arial" w:hAnsi="Arial" w:cs="Arial"/>
          <w:color w:val="000000"/>
          <w:sz w:val="24"/>
          <w:szCs w:val="24"/>
        </w:rPr>
      </w:pPr>
      <w:r w:rsidRPr="00294005">
        <w:rPr>
          <w:rFonts w:ascii="Arial" w:hAnsi="Arial" w:cs="Arial"/>
          <w:b/>
          <w:sz w:val="24"/>
          <w:szCs w:val="24"/>
        </w:rPr>
        <w:t>Productos Sustitutos</w:t>
      </w:r>
      <w:r w:rsidRPr="00294005">
        <w:rPr>
          <w:rFonts w:ascii="Arial" w:hAnsi="Arial" w:cs="Arial"/>
          <w:sz w:val="24"/>
          <w:szCs w:val="24"/>
        </w:rPr>
        <w:t>, dentro del sector existe productos sustitutos considerado uno la otra gama de estabilizadores relacionados con el</w:t>
      </w:r>
      <w:r w:rsidRPr="00294005">
        <w:rPr>
          <w:rFonts w:ascii="Arial" w:hAnsi="Arial" w:cs="Arial"/>
          <w:color w:val="000000"/>
          <w:sz w:val="24"/>
          <w:szCs w:val="24"/>
        </w:rPr>
        <w:t xml:space="preserve"> Cloruro de Calcio, Sodio, además se empresas estabilizadoras de baja duración en especial plantas de áridos. Por lo que existe un sustito en el Mercado pero que tengas las propiedades de la Bischofita, basados en sus beneficios y costos, no están relevante.</w:t>
      </w:r>
    </w:p>
    <w:p w:rsidR="001215C0" w:rsidRPr="00294005" w:rsidRDefault="001215C0" w:rsidP="00A1001A">
      <w:pPr>
        <w:spacing w:line="360" w:lineRule="auto"/>
        <w:jc w:val="both"/>
        <w:rPr>
          <w:rFonts w:ascii="Arial" w:hAnsi="Arial" w:cs="Arial"/>
          <w:sz w:val="24"/>
          <w:szCs w:val="24"/>
        </w:rPr>
      </w:pPr>
    </w:p>
    <w:p w:rsidR="001215C0" w:rsidRDefault="001215C0" w:rsidP="00A1001A">
      <w:pPr>
        <w:spacing w:line="360" w:lineRule="auto"/>
        <w:jc w:val="both"/>
        <w:rPr>
          <w:rFonts w:ascii="Arial" w:hAnsi="Arial" w:cs="Arial"/>
          <w:sz w:val="24"/>
          <w:szCs w:val="24"/>
        </w:rPr>
      </w:pPr>
    </w:p>
    <w:p w:rsidR="007474BA" w:rsidRDefault="007474BA" w:rsidP="00A1001A">
      <w:pPr>
        <w:spacing w:line="360" w:lineRule="auto"/>
        <w:jc w:val="both"/>
        <w:rPr>
          <w:rFonts w:ascii="Arial" w:hAnsi="Arial" w:cs="Arial"/>
          <w:sz w:val="24"/>
          <w:szCs w:val="24"/>
        </w:rPr>
      </w:pPr>
    </w:p>
    <w:p w:rsidR="007474BA" w:rsidRDefault="007474BA" w:rsidP="00A1001A">
      <w:pPr>
        <w:spacing w:line="360" w:lineRule="auto"/>
        <w:jc w:val="both"/>
        <w:rPr>
          <w:rFonts w:ascii="Arial" w:hAnsi="Arial" w:cs="Arial"/>
          <w:sz w:val="24"/>
          <w:szCs w:val="24"/>
        </w:rPr>
      </w:pPr>
    </w:p>
    <w:p w:rsidR="00286C06" w:rsidRDefault="00286C06" w:rsidP="00A1001A">
      <w:pPr>
        <w:spacing w:line="360" w:lineRule="auto"/>
        <w:jc w:val="both"/>
        <w:rPr>
          <w:rFonts w:ascii="Arial" w:hAnsi="Arial" w:cs="Arial"/>
          <w:sz w:val="24"/>
          <w:szCs w:val="24"/>
        </w:rPr>
      </w:pPr>
    </w:p>
    <w:p w:rsidR="00037FEA" w:rsidRDefault="00294005" w:rsidP="00037FEA">
      <w:pPr>
        <w:pStyle w:val="Ttulo1"/>
      </w:pPr>
      <w:bookmarkStart w:id="6" w:name="_Toc73538305"/>
      <w:r>
        <w:t>VI</w:t>
      </w:r>
      <w:r w:rsidR="00037FEA">
        <w:t xml:space="preserve"> Bibliografía</w:t>
      </w:r>
      <w:bookmarkEnd w:id="6"/>
    </w:p>
    <w:p w:rsidR="00A1001A" w:rsidRDefault="00A1001A" w:rsidP="009B3D1D">
      <w:pPr>
        <w:spacing w:line="360" w:lineRule="auto"/>
        <w:rPr>
          <w:rFonts w:ascii="Arial" w:hAnsi="Arial" w:cs="Arial"/>
          <w:sz w:val="24"/>
          <w:szCs w:val="24"/>
        </w:rPr>
      </w:pPr>
    </w:p>
    <w:p w:rsidR="00037FEA" w:rsidRPr="009B3D1D" w:rsidRDefault="00037FEA" w:rsidP="009B3D1D">
      <w:pPr>
        <w:spacing w:line="360" w:lineRule="auto"/>
        <w:rPr>
          <w:rFonts w:ascii="Arial" w:hAnsi="Arial" w:cs="Arial"/>
          <w:sz w:val="24"/>
          <w:szCs w:val="24"/>
        </w:rPr>
      </w:pPr>
      <w:r>
        <w:rPr>
          <w:rFonts w:ascii="Arial" w:hAnsi="Arial" w:cs="Arial"/>
          <w:sz w:val="24"/>
          <w:szCs w:val="24"/>
        </w:rPr>
        <w:t xml:space="preserve">Principios de la Economía, Segunda Edición, </w:t>
      </w:r>
      <w:proofErr w:type="spellStart"/>
      <w:r>
        <w:rPr>
          <w:rFonts w:ascii="Arial" w:hAnsi="Arial" w:cs="Arial"/>
          <w:sz w:val="24"/>
          <w:szCs w:val="24"/>
        </w:rPr>
        <w:t>Mankiw</w:t>
      </w:r>
      <w:proofErr w:type="spellEnd"/>
      <w:r>
        <w:rPr>
          <w:rFonts w:ascii="Arial" w:hAnsi="Arial" w:cs="Arial"/>
          <w:sz w:val="24"/>
          <w:szCs w:val="24"/>
        </w:rPr>
        <w:t>, N. Gregory</w:t>
      </w:r>
      <w:r w:rsidR="00CC4C93">
        <w:rPr>
          <w:rFonts w:ascii="Arial" w:hAnsi="Arial" w:cs="Arial"/>
          <w:sz w:val="24"/>
          <w:szCs w:val="24"/>
        </w:rPr>
        <w:t>, 2002.</w:t>
      </w:r>
    </w:p>
    <w:sectPr w:rsidR="00037FEA" w:rsidRPr="009B3D1D" w:rsidSect="002C4069">
      <w:headerReference w:type="default" r:id="rId11"/>
      <w:footerReference w:type="default" r:id="rId12"/>
      <w:pgSz w:w="12240" w:h="15840"/>
      <w:pgMar w:top="709"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AC1" w:rsidRDefault="003A4AC1" w:rsidP="00CC4C93">
      <w:pPr>
        <w:spacing w:after="0" w:line="240" w:lineRule="auto"/>
      </w:pPr>
      <w:r>
        <w:separator/>
      </w:r>
    </w:p>
  </w:endnote>
  <w:endnote w:type="continuationSeparator" w:id="0">
    <w:p w:rsidR="003A4AC1" w:rsidRDefault="003A4AC1" w:rsidP="00CC4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906257"/>
      <w:docPartObj>
        <w:docPartGallery w:val="Page Numbers (Bottom of Page)"/>
        <w:docPartUnique/>
      </w:docPartObj>
    </w:sdtPr>
    <w:sdtContent>
      <w:p w:rsidR="002C4069" w:rsidRDefault="002C4069">
        <w:pPr>
          <w:pStyle w:val="Piedepgina"/>
          <w:jc w:val="center"/>
        </w:pPr>
        <w:r>
          <w:fldChar w:fldCharType="begin"/>
        </w:r>
        <w:r>
          <w:instrText>PAGE   \* MERGEFORMAT</w:instrText>
        </w:r>
        <w:r>
          <w:fldChar w:fldCharType="separate"/>
        </w:r>
        <w:r w:rsidRPr="002C4069">
          <w:rPr>
            <w:noProof/>
            <w:lang w:val="es-ES"/>
          </w:rPr>
          <w:t>2</w:t>
        </w:r>
        <w:r>
          <w:fldChar w:fldCharType="end"/>
        </w:r>
      </w:p>
    </w:sdtContent>
  </w:sdt>
  <w:p w:rsidR="002C4069" w:rsidRDefault="002C40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AC1" w:rsidRDefault="003A4AC1" w:rsidP="00CC4C93">
      <w:pPr>
        <w:spacing w:after="0" w:line="240" w:lineRule="auto"/>
      </w:pPr>
      <w:r>
        <w:separator/>
      </w:r>
    </w:p>
  </w:footnote>
  <w:footnote w:type="continuationSeparator" w:id="0">
    <w:p w:rsidR="003A4AC1" w:rsidRDefault="003A4AC1" w:rsidP="00CC4C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069" w:rsidRDefault="002C406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43106"/>
    <w:multiLevelType w:val="hybridMultilevel"/>
    <w:tmpl w:val="04C69284"/>
    <w:lvl w:ilvl="0" w:tplc="72828000">
      <w:start w:val="1"/>
      <w:numFmt w:val="bullet"/>
      <w:lvlText w:val="•"/>
      <w:lvlJc w:val="left"/>
      <w:pPr>
        <w:tabs>
          <w:tab w:val="num" w:pos="720"/>
        </w:tabs>
        <w:ind w:left="720" w:hanging="360"/>
      </w:pPr>
      <w:rPr>
        <w:rFonts w:ascii="Arial" w:hAnsi="Arial" w:hint="default"/>
      </w:rPr>
    </w:lvl>
    <w:lvl w:ilvl="1" w:tplc="21921F3C" w:tentative="1">
      <w:start w:val="1"/>
      <w:numFmt w:val="bullet"/>
      <w:lvlText w:val="•"/>
      <w:lvlJc w:val="left"/>
      <w:pPr>
        <w:tabs>
          <w:tab w:val="num" w:pos="1440"/>
        </w:tabs>
        <w:ind w:left="1440" w:hanging="360"/>
      </w:pPr>
      <w:rPr>
        <w:rFonts w:ascii="Arial" w:hAnsi="Arial" w:hint="default"/>
      </w:rPr>
    </w:lvl>
    <w:lvl w:ilvl="2" w:tplc="B5EEFA48" w:tentative="1">
      <w:start w:val="1"/>
      <w:numFmt w:val="bullet"/>
      <w:lvlText w:val="•"/>
      <w:lvlJc w:val="left"/>
      <w:pPr>
        <w:tabs>
          <w:tab w:val="num" w:pos="2160"/>
        </w:tabs>
        <w:ind w:left="2160" w:hanging="360"/>
      </w:pPr>
      <w:rPr>
        <w:rFonts w:ascii="Arial" w:hAnsi="Arial" w:hint="default"/>
      </w:rPr>
    </w:lvl>
    <w:lvl w:ilvl="3" w:tplc="34FAC00A" w:tentative="1">
      <w:start w:val="1"/>
      <w:numFmt w:val="bullet"/>
      <w:lvlText w:val="•"/>
      <w:lvlJc w:val="left"/>
      <w:pPr>
        <w:tabs>
          <w:tab w:val="num" w:pos="2880"/>
        </w:tabs>
        <w:ind w:left="2880" w:hanging="360"/>
      </w:pPr>
      <w:rPr>
        <w:rFonts w:ascii="Arial" w:hAnsi="Arial" w:hint="default"/>
      </w:rPr>
    </w:lvl>
    <w:lvl w:ilvl="4" w:tplc="F27E7AF8" w:tentative="1">
      <w:start w:val="1"/>
      <w:numFmt w:val="bullet"/>
      <w:lvlText w:val="•"/>
      <w:lvlJc w:val="left"/>
      <w:pPr>
        <w:tabs>
          <w:tab w:val="num" w:pos="3600"/>
        </w:tabs>
        <w:ind w:left="3600" w:hanging="360"/>
      </w:pPr>
      <w:rPr>
        <w:rFonts w:ascii="Arial" w:hAnsi="Arial" w:hint="default"/>
      </w:rPr>
    </w:lvl>
    <w:lvl w:ilvl="5" w:tplc="19589718" w:tentative="1">
      <w:start w:val="1"/>
      <w:numFmt w:val="bullet"/>
      <w:lvlText w:val="•"/>
      <w:lvlJc w:val="left"/>
      <w:pPr>
        <w:tabs>
          <w:tab w:val="num" w:pos="4320"/>
        </w:tabs>
        <w:ind w:left="4320" w:hanging="360"/>
      </w:pPr>
      <w:rPr>
        <w:rFonts w:ascii="Arial" w:hAnsi="Arial" w:hint="default"/>
      </w:rPr>
    </w:lvl>
    <w:lvl w:ilvl="6" w:tplc="034A907A" w:tentative="1">
      <w:start w:val="1"/>
      <w:numFmt w:val="bullet"/>
      <w:lvlText w:val="•"/>
      <w:lvlJc w:val="left"/>
      <w:pPr>
        <w:tabs>
          <w:tab w:val="num" w:pos="5040"/>
        </w:tabs>
        <w:ind w:left="5040" w:hanging="360"/>
      </w:pPr>
      <w:rPr>
        <w:rFonts w:ascii="Arial" w:hAnsi="Arial" w:hint="default"/>
      </w:rPr>
    </w:lvl>
    <w:lvl w:ilvl="7" w:tplc="0900AB2E" w:tentative="1">
      <w:start w:val="1"/>
      <w:numFmt w:val="bullet"/>
      <w:lvlText w:val="•"/>
      <w:lvlJc w:val="left"/>
      <w:pPr>
        <w:tabs>
          <w:tab w:val="num" w:pos="5760"/>
        </w:tabs>
        <w:ind w:left="5760" w:hanging="360"/>
      </w:pPr>
      <w:rPr>
        <w:rFonts w:ascii="Arial" w:hAnsi="Arial" w:hint="default"/>
      </w:rPr>
    </w:lvl>
    <w:lvl w:ilvl="8" w:tplc="8B5E3E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53C2E62"/>
    <w:multiLevelType w:val="hybridMultilevel"/>
    <w:tmpl w:val="61E633F8"/>
    <w:lvl w:ilvl="0" w:tplc="34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3A6B672C"/>
    <w:multiLevelType w:val="hybridMultilevel"/>
    <w:tmpl w:val="ECD8A74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5EA69A5"/>
    <w:multiLevelType w:val="hybridMultilevel"/>
    <w:tmpl w:val="0C48602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84B2824"/>
    <w:multiLevelType w:val="hybridMultilevel"/>
    <w:tmpl w:val="6B90D404"/>
    <w:lvl w:ilvl="0" w:tplc="22A461C6">
      <w:numFmt w:val="bullet"/>
      <w:lvlText w:val=""/>
      <w:lvlJc w:val="left"/>
      <w:pPr>
        <w:ind w:left="1065" w:hanging="705"/>
      </w:pPr>
      <w:rPr>
        <w:rFonts w:ascii="Symbol" w:eastAsia="Times New Roman"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86F51E1"/>
    <w:multiLevelType w:val="hybridMultilevel"/>
    <w:tmpl w:val="E29049F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317"/>
    <w:rsid w:val="00004317"/>
    <w:rsid w:val="00037FEA"/>
    <w:rsid w:val="0006590C"/>
    <w:rsid w:val="00073A97"/>
    <w:rsid w:val="000A15E1"/>
    <w:rsid w:val="001215C0"/>
    <w:rsid w:val="001A461E"/>
    <w:rsid w:val="001A595D"/>
    <w:rsid w:val="00246A3A"/>
    <w:rsid w:val="00286C06"/>
    <w:rsid w:val="00294005"/>
    <w:rsid w:val="002C4069"/>
    <w:rsid w:val="00371FDE"/>
    <w:rsid w:val="003A4AC1"/>
    <w:rsid w:val="003E0A76"/>
    <w:rsid w:val="00724355"/>
    <w:rsid w:val="007474BA"/>
    <w:rsid w:val="00865DB5"/>
    <w:rsid w:val="00954895"/>
    <w:rsid w:val="009B3D1D"/>
    <w:rsid w:val="00A1001A"/>
    <w:rsid w:val="00A665ED"/>
    <w:rsid w:val="00B71038"/>
    <w:rsid w:val="00B97BD9"/>
    <w:rsid w:val="00CC4C93"/>
    <w:rsid w:val="00D179AE"/>
    <w:rsid w:val="00E53C75"/>
    <w:rsid w:val="00E656CA"/>
    <w:rsid w:val="00EA5225"/>
    <w:rsid w:val="00F80B3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626F8"/>
  <w15:chartTrackingRefBased/>
  <w15:docId w15:val="{04C7A5D6-215E-4A4F-9378-7516E864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73A97"/>
    <w:pPr>
      <w:keepNext/>
      <w:keepLines/>
      <w:spacing w:before="240" w:after="0"/>
      <w:outlineLvl w:val="0"/>
    </w:pPr>
    <w:rPr>
      <w:rFonts w:ascii="Arial" w:eastAsiaTheme="majorEastAsia" w:hAnsi="Arial" w:cstheme="majorBidi"/>
      <w:b/>
      <w:sz w:val="24"/>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73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073A97"/>
    <w:rPr>
      <w:rFonts w:ascii="Arial" w:eastAsiaTheme="majorEastAsia" w:hAnsi="Arial" w:cstheme="majorBidi"/>
      <w:b/>
      <w:sz w:val="24"/>
      <w:szCs w:val="32"/>
    </w:rPr>
  </w:style>
  <w:style w:type="paragraph" w:styleId="NormalWeb">
    <w:name w:val="Normal (Web)"/>
    <w:basedOn w:val="Normal"/>
    <w:uiPriority w:val="99"/>
    <w:semiHidden/>
    <w:unhideWhenUsed/>
    <w:rsid w:val="00073A97"/>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Prrafodelista">
    <w:name w:val="List Paragraph"/>
    <w:basedOn w:val="Normal"/>
    <w:uiPriority w:val="34"/>
    <w:qFormat/>
    <w:rsid w:val="00EA5225"/>
    <w:pPr>
      <w:ind w:left="720"/>
      <w:contextualSpacing/>
    </w:pPr>
  </w:style>
  <w:style w:type="paragraph" w:styleId="Encabezado">
    <w:name w:val="header"/>
    <w:basedOn w:val="Normal"/>
    <w:link w:val="EncabezadoCar"/>
    <w:uiPriority w:val="99"/>
    <w:unhideWhenUsed/>
    <w:rsid w:val="00CC4C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C4C93"/>
  </w:style>
  <w:style w:type="paragraph" w:styleId="Piedepgina">
    <w:name w:val="footer"/>
    <w:basedOn w:val="Normal"/>
    <w:link w:val="PiedepginaCar"/>
    <w:uiPriority w:val="99"/>
    <w:unhideWhenUsed/>
    <w:rsid w:val="00CC4C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C4C93"/>
  </w:style>
  <w:style w:type="paragraph" w:styleId="TDC1">
    <w:name w:val="toc 1"/>
    <w:basedOn w:val="Normal"/>
    <w:next w:val="Normal"/>
    <w:autoRedefine/>
    <w:uiPriority w:val="39"/>
    <w:unhideWhenUsed/>
    <w:rsid w:val="000A15E1"/>
    <w:pPr>
      <w:spacing w:after="100"/>
    </w:pPr>
  </w:style>
  <w:style w:type="character" w:styleId="Hipervnculo">
    <w:name w:val="Hyperlink"/>
    <w:basedOn w:val="Fuentedeprrafopredeter"/>
    <w:uiPriority w:val="99"/>
    <w:unhideWhenUsed/>
    <w:rsid w:val="000A15E1"/>
    <w:rPr>
      <w:color w:val="0563C1" w:themeColor="hyperlink"/>
      <w:u w:val="single"/>
    </w:rPr>
  </w:style>
  <w:style w:type="paragraph" w:styleId="TtuloTDC">
    <w:name w:val="TOC Heading"/>
    <w:basedOn w:val="Ttulo1"/>
    <w:next w:val="Normal"/>
    <w:uiPriority w:val="39"/>
    <w:unhideWhenUsed/>
    <w:qFormat/>
    <w:rsid w:val="000A15E1"/>
    <w:pPr>
      <w:outlineLvl w:val="9"/>
    </w:pPr>
    <w:rPr>
      <w:rFonts w:asciiTheme="majorHAnsi" w:hAnsiTheme="majorHAnsi"/>
      <w:b w:val="0"/>
      <w:color w:val="2E74B5" w:themeColor="accent1" w:themeShade="BF"/>
      <w:sz w:val="32"/>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098483">
      <w:bodyDiv w:val="1"/>
      <w:marLeft w:val="0"/>
      <w:marRight w:val="0"/>
      <w:marTop w:val="0"/>
      <w:marBottom w:val="0"/>
      <w:divBdr>
        <w:top w:val="none" w:sz="0" w:space="0" w:color="auto"/>
        <w:left w:val="none" w:sz="0" w:space="0" w:color="auto"/>
        <w:bottom w:val="none" w:sz="0" w:space="0" w:color="auto"/>
        <w:right w:val="none" w:sz="0" w:space="0" w:color="auto"/>
      </w:divBdr>
    </w:div>
    <w:div w:id="1618870853">
      <w:bodyDiv w:val="1"/>
      <w:marLeft w:val="0"/>
      <w:marRight w:val="0"/>
      <w:marTop w:val="0"/>
      <w:marBottom w:val="0"/>
      <w:divBdr>
        <w:top w:val="none" w:sz="0" w:space="0" w:color="auto"/>
        <w:left w:val="none" w:sz="0" w:space="0" w:color="auto"/>
        <w:bottom w:val="none" w:sz="0" w:space="0" w:color="auto"/>
        <w:right w:val="none" w:sz="0" w:space="0" w:color="auto"/>
      </w:divBdr>
      <w:divsChild>
        <w:div w:id="298801754">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059B1-649C-4BB6-A9EE-982E5ACD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2353</Words>
  <Characters>12942</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WALDO AVALOS</dc:creator>
  <cp:keywords/>
  <dc:description/>
  <cp:lastModifiedBy>WALDO AVALOS</cp:lastModifiedBy>
  <cp:revision>4</cp:revision>
  <dcterms:created xsi:type="dcterms:W3CDTF">2021-06-02T18:14:00Z</dcterms:created>
  <dcterms:modified xsi:type="dcterms:W3CDTF">2021-06-02T19:59:00Z</dcterms:modified>
</cp:coreProperties>
</file>